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635"/>
        </w:tabs>
        <w:rPr/>
      </w:pPr>
      <w:r w:rsidDel="00000000" w:rsidR="00000000" w:rsidRPr="00000000">
        <w:rPr>
          <w:rFonts w:ascii="Cambria" w:cs="Cambria" w:eastAsia="Cambria" w:hAnsi="Cambria"/>
          <w:sz w:val="28"/>
          <w:szCs w:val="28"/>
          <w:rtl w:val="0"/>
        </w:rPr>
        <w:t xml:space="preserve">NAJPRV DIAGNOSTIKA  POTOM  TRÉNING, ZÁKLAD PROGRESÍVNÉHO ROZVOJA TALENTU    (Skúsenosti z pilotného projektu plaveckého klubu Azeta) </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02">
      <w:pPr>
        <w:tabs>
          <w:tab w:val="left" w:pos="2635"/>
        </w:tabs>
        <w:rPr>
          <w:rFonts w:ascii="Cambria" w:cs="Cambria" w:eastAsia="Cambria" w:hAnsi="Cambria"/>
        </w:rPr>
      </w:pPr>
      <w:r w:rsidDel="00000000" w:rsidR="00000000" w:rsidRPr="00000000">
        <w:rPr>
          <w:rFonts w:ascii="Cambria" w:cs="Cambria" w:eastAsia="Cambria" w:hAnsi="Cambria"/>
          <w:rtl w:val="0"/>
        </w:rPr>
        <w:t xml:space="preserve">PaedDr. Gerald Svoboda, Ing. Milan Vojtko, Mgr. Júlia Kertésová </w:t>
      </w:r>
    </w:p>
    <w:p w:rsidR="00000000" w:rsidDel="00000000" w:rsidP="00000000" w:rsidRDefault="00000000" w:rsidRPr="00000000" w14:paraId="00000003">
      <w:pPr>
        <w:tabs>
          <w:tab w:val="left" w:pos="2635"/>
        </w:tabs>
        <w:rPr>
          <w:rFonts w:ascii="Cambria" w:cs="Cambria" w:eastAsia="Cambria" w:hAnsi="Cambria"/>
        </w:rPr>
      </w:pPr>
      <w:r w:rsidDel="00000000" w:rsidR="00000000" w:rsidRPr="00000000">
        <w:rPr>
          <w:rFonts w:ascii="Cambria" w:cs="Cambria" w:eastAsia="Cambria" w:hAnsi="Cambria"/>
          <w:rtl w:val="0"/>
        </w:rPr>
        <w:t xml:space="preserve">Súčasťou koncepcie systematického rozvoja nášho klubu je diagnostika rozvoja talentu. Významne prispieva  k progresívnemu výkonnostnému rastu zverencov v súlade so zdravým  rozvojom ich talentu. Sofistikovaným poznaním stavu predpokladov  usmerňuje nadväznosť výkonnosti na júniorsku reprezentáciu, resp. menej výkonnostných a biologický zrelých na  odstraňovanie zaostávajúcich komponentov talentu. </w:t>
      </w:r>
    </w:p>
    <w:p w:rsidR="00000000" w:rsidDel="00000000" w:rsidP="00000000" w:rsidRDefault="00000000" w:rsidRPr="00000000" w14:paraId="00000004">
      <w:pPr>
        <w:tabs>
          <w:tab w:val="left" w:pos="2635"/>
        </w:tabs>
        <w:rPr>
          <w:rFonts w:ascii="Cambria" w:cs="Cambria" w:eastAsia="Cambria" w:hAnsi="Cambria"/>
          <w:sz w:val="28"/>
          <w:szCs w:val="28"/>
        </w:rPr>
      </w:pPr>
      <w:r w:rsidDel="00000000" w:rsidR="00000000" w:rsidRPr="00000000">
        <w:rPr>
          <w:rFonts w:ascii="Cambria" w:cs="Cambria" w:eastAsia="Cambria" w:hAnsi="Cambria"/>
          <w:sz w:val="24"/>
          <w:szCs w:val="24"/>
          <w:highlight w:val="yellow"/>
          <w:u w:val="single"/>
          <w:rtl w:val="0"/>
        </w:rPr>
        <w:t xml:space="preserve">Dlhodobú prípravu 9-14 ročných plavcov Age Group v klube Azeta planujeme stratégiou topformy</w:t>
      </w:r>
      <w:r w:rsidDel="00000000" w:rsidR="00000000" w:rsidRPr="00000000">
        <w:rPr>
          <w:rFonts w:ascii="Cambria" w:cs="Cambria" w:eastAsia="Cambria" w:hAnsi="Cambria"/>
          <w:sz w:val="24"/>
          <w:szCs w:val="24"/>
          <w:highlight w:val="yellow"/>
          <w:rtl w:val="0"/>
        </w:rPr>
        <w:t xml:space="preserve">“, pričom uplatňujeme tieto princípy </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rtl w:val="0"/>
        </w:rPr>
        <w:t xml:space="preserve">Plánovaním sezóny  princípom, 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ajprv diagnostiku talentu potom tréning, </w:t>
      </w:r>
      <w:r w:rsidDel="00000000" w:rsidR="00000000" w:rsidRPr="00000000">
        <w:rPr>
          <w:rFonts w:ascii="Cambria" w:cs="Cambria" w:eastAsia="Cambria" w:hAnsi="Cambria"/>
          <w:rtl w:val="0"/>
        </w:rPr>
        <w:t xml:space="preserve">umožniť zosúladiť výkonnostný rast zverencov so zdravým  rozvojom talentu</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V</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úvode a v závere sezóny  na tréningovom tábore absolv</w:t>
      </w:r>
      <w:r w:rsidDel="00000000" w:rsidR="00000000" w:rsidRPr="00000000">
        <w:rPr>
          <w:rFonts w:ascii="Cambria" w:cs="Cambria" w:eastAsia="Cambria" w:hAnsi="Cambria"/>
          <w:rtl w:val="0"/>
        </w:rPr>
        <w:t xml:space="preserve">ovať</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nenáročné testovanie ( v skupine T1 špecifické komponenty rozvoja talentu </w:t>
      </w:r>
      <w:r w:rsidDel="00000000" w:rsidR="00000000" w:rsidRPr="00000000">
        <w:rPr>
          <w:rFonts w:ascii="Cambria" w:cs="Cambria" w:eastAsia="Cambria" w:hAnsi="Cambria"/>
          <w:rtl w:val="0"/>
        </w:rPr>
        <w:t xml:space="preserve">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w:t>
      </w:r>
      <w:r w:rsidDel="00000000" w:rsidR="00000000" w:rsidRPr="00000000">
        <w:rPr>
          <w:rFonts w:ascii="Cambria" w:cs="Cambria" w:eastAsia="Cambria" w:hAnsi="Cambria"/>
          <w:rtl w:val="0"/>
        </w:rPr>
        <w:t xml:space="preserve">ovať</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častejšie, každý MZC)</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Tréning  nastav</w:t>
      </w:r>
      <w:r w:rsidDel="00000000" w:rsidR="00000000" w:rsidRPr="00000000">
        <w:rPr>
          <w:rFonts w:ascii="Cambria" w:cs="Cambria" w:eastAsia="Cambria" w:hAnsi="Cambria"/>
          <w:rtl w:val="0"/>
        </w:rPr>
        <w:t xml:space="preserve">iť</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na KOMPLEXNÚ plaveckú výkonnosť tzv. TOPFORMU </w:t>
      </w:r>
      <w:r w:rsidDel="00000000" w:rsidR="00000000" w:rsidRPr="00000000">
        <w:rPr>
          <w:rFonts w:ascii="Cambria" w:cs="Cambria" w:eastAsia="Cambria" w:hAnsi="Cambria"/>
          <w:rtl w:val="0"/>
        </w:rPr>
        <w:t xml:space="preserve">nadväznu na limity júniorskej reprezentácie, resp. menej výkonnostných a biologický zrelých na  odstraňovanie zaostávajúcich komponentov talentu (ohybnosť, výbušnosť, koordináciu)</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w:t>
      </w:r>
      <w:r w:rsidDel="00000000" w:rsidR="00000000" w:rsidRPr="00000000">
        <w:rPr>
          <w:rFonts w:ascii="Cambria" w:cs="Cambria" w:eastAsia="Cambria" w:hAnsi="Cambria"/>
          <w:rtl w:val="0"/>
        </w:rPr>
        <w:t xml:space="preserve">ast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topform</w:t>
      </w:r>
      <w:r w:rsidDel="00000000" w:rsidR="00000000" w:rsidRPr="00000000">
        <w:rPr>
          <w:rFonts w:ascii="Cambria" w:cs="Cambria" w:eastAsia="Cambria" w:hAnsi="Cambria"/>
          <w:rtl w:val="0"/>
        </w:rPr>
        <w:t xml:space="preserve">y zosúladiť s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PROPORCIÁLNYM rozvojom KOMPONENTOV TALENTU</w:t>
      </w:r>
      <w:r w:rsidDel="00000000" w:rsidR="00000000" w:rsidRPr="00000000">
        <w:rPr>
          <w:rFonts w:ascii="Cambria" w:cs="Cambria" w:eastAsia="Cambria" w:hAnsi="Cambria"/>
          <w:rtl w:val="0"/>
        </w:rPr>
        <w:t xml:space="preserve">,  ktoré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limitujú</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úspešnosť v zrelom veku, </w:t>
      </w:r>
      <w:r w:rsidDel="00000000" w:rsidR="00000000" w:rsidRPr="00000000">
        <w:rPr>
          <w:rFonts w:ascii="Cambria" w:cs="Cambria" w:eastAsia="Cambria" w:hAnsi="Cambria"/>
          <w:rtl w:val="0"/>
        </w:rPr>
        <w:t xml:space="preserve">samotná vysoká výkonnosť negarantuje úspešnú kariéru</w:t>
      </w:r>
      <w:r w:rsidDel="00000000" w:rsidR="00000000" w:rsidRPr="00000000">
        <w:rPr>
          <w:rtl w:val="0"/>
        </w:rPr>
      </w:r>
    </w:p>
    <w:p w:rsidR="00000000" w:rsidDel="00000000" w:rsidP="00000000" w:rsidRDefault="00000000" w:rsidRPr="00000000" w14:paraId="00000009">
      <w:pPr>
        <w:numPr>
          <w:ilvl w:val="0"/>
          <w:numId w:val="4"/>
        </w:numPr>
        <w:tabs>
          <w:tab w:val="left" w:pos="2635"/>
        </w:tabs>
        <w:spacing w:after="0" w:lineRule="auto"/>
        <w:ind w:left="720" w:hanging="360"/>
        <w:rPr/>
      </w:pPr>
      <w:r w:rsidDel="00000000" w:rsidR="00000000" w:rsidRPr="00000000">
        <w:rPr>
          <w:rFonts w:ascii="Cambria" w:cs="Cambria" w:eastAsia="Cambria" w:hAnsi="Cambria"/>
          <w:rtl w:val="0"/>
        </w:rPr>
        <w:t xml:space="preserve">Nie všetko je kilometrážou, 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réningom stratégiou</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topformy  MOTIV</w:t>
      </w:r>
      <w:r w:rsidDel="00000000" w:rsidR="00000000" w:rsidRPr="00000000">
        <w:rPr>
          <w:rFonts w:ascii="Cambria" w:cs="Cambria" w:eastAsia="Cambria" w:hAnsi="Cambria"/>
          <w:rtl w:val="0"/>
        </w:rPr>
        <w:t xml:space="preserve">OVOVAŤ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ALE ZBYTOČNE  NEAKCELER</w:t>
      </w:r>
      <w:r w:rsidDel="00000000" w:rsidR="00000000" w:rsidRPr="00000000">
        <w:rPr>
          <w:rFonts w:ascii="Cambria" w:cs="Cambria" w:eastAsia="Cambria" w:hAnsi="Cambria"/>
          <w:rtl w:val="0"/>
        </w:rPr>
        <w:t xml:space="preserve">OVSŤ(do 14-15 rokov maximálne 5-6xvoda, 2-3 xsucho)</w:t>
      </w:r>
      <w:r w:rsidDel="00000000" w:rsidR="00000000" w:rsidRPr="00000000">
        <w:rPr>
          <w:rtl w:val="0"/>
        </w:rPr>
      </w:r>
    </w:p>
    <w:p w:rsidR="00000000" w:rsidDel="00000000" w:rsidP="00000000" w:rsidRDefault="00000000" w:rsidRPr="00000000" w14:paraId="0000000A">
      <w:pPr>
        <w:numPr>
          <w:ilvl w:val="0"/>
          <w:numId w:val="4"/>
        </w:numPr>
        <w:tabs>
          <w:tab w:val="left" w:pos="2635"/>
        </w:tabs>
        <w:spacing w:after="0" w:lineRule="auto"/>
        <w:ind w:left="720" w:hanging="360"/>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P</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lavc</w:t>
      </w:r>
      <w:r w:rsidDel="00000000" w:rsidR="00000000" w:rsidRPr="00000000">
        <w:rPr>
          <w:rFonts w:ascii="Cambria" w:cs="Cambria" w:eastAsia="Cambria" w:hAnsi="Cambria"/>
          <w:rtl w:val="0"/>
        </w:rPr>
        <w:t xml:space="preserve">om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 rodič</w:t>
      </w:r>
      <w:r w:rsidDel="00000000" w:rsidR="00000000" w:rsidRPr="00000000">
        <w:rPr>
          <w:rFonts w:ascii="Cambria" w:cs="Cambria" w:eastAsia="Cambria" w:hAnsi="Cambria"/>
          <w:rtl w:val="0"/>
        </w:rPr>
        <w:t xml:space="preserve">om vysvetľovať riziko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"blázneni</w:t>
      </w:r>
      <w:r w:rsidDel="00000000" w:rsidR="00000000" w:rsidRPr="00000000">
        <w:rPr>
          <w:rFonts w:ascii="Cambria" w:cs="Cambria" w:eastAsia="Cambria" w:hAnsi="Cambria"/>
          <w:rtl w:val="0"/>
        </w:rPr>
        <w:t xml:space="preserve">a</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za rekordmi a titulmi</w:t>
      </w:r>
      <w:r w:rsidDel="00000000" w:rsidR="00000000" w:rsidRPr="00000000">
        <w:rPr>
          <w:rFonts w:ascii="Cambria" w:cs="Cambria" w:eastAsia="Cambria" w:hAnsi="Cambria"/>
          <w:rtl w:val="0"/>
        </w:rPr>
        <w:t xml:space="preserve">tak, riziko oslabovania zdravia a imunity, riziko nenávratnej straty dispozícií a talentu</w:t>
      </w:r>
      <w:r w:rsidDel="00000000" w:rsidR="00000000" w:rsidRPr="00000000">
        <w:rPr>
          <w:rtl w:val="0"/>
        </w:rPr>
      </w:r>
    </w:p>
    <w:p w:rsidR="00000000" w:rsidDel="00000000" w:rsidP="00000000" w:rsidRDefault="00000000" w:rsidRPr="00000000" w14:paraId="0000000B">
      <w:pPr>
        <w:numPr>
          <w:ilvl w:val="0"/>
          <w:numId w:val="4"/>
        </w:numPr>
        <w:tabs>
          <w:tab w:val="left" w:pos="2635"/>
        </w:tabs>
        <w:spacing w:after="0" w:lineRule="auto"/>
        <w:ind w:left="720" w:hanging="360"/>
        <w:rPr/>
      </w:pPr>
      <w:r w:rsidDel="00000000" w:rsidR="00000000" w:rsidRPr="00000000">
        <w:rPr>
          <w:rFonts w:ascii="Cambria" w:cs="Cambria" w:eastAsia="Cambria" w:hAnsi="Cambria"/>
          <w:rtl w:val="0"/>
        </w:rPr>
        <w:t xml:space="preserve">V skupinách T1 a T2, v rámci jedného programu, diferencovať rozsah a zameranie tréningu</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rtl w:val="0"/>
        </w:rPr>
        <w:t xml:space="preserve">Z</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verenco</w:t>
      </w:r>
      <w:r w:rsidDel="00000000" w:rsidR="00000000" w:rsidRPr="00000000">
        <w:rPr>
          <w:rFonts w:ascii="Cambria" w:cs="Cambria" w:eastAsia="Cambria" w:hAnsi="Cambria"/>
          <w:rtl w:val="0"/>
        </w:rPr>
        <w:t xml:space="preserve">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hľad</w:t>
      </w:r>
      <w:r w:rsidDel="00000000" w:rsidR="00000000" w:rsidRPr="00000000">
        <w:rPr>
          <w:rFonts w:ascii="Cambria" w:cs="Cambria" w:eastAsia="Cambria" w:hAnsi="Cambria"/>
          <w:rtl w:val="0"/>
        </w:rPr>
        <w:t xml:space="preserve">ať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"VLASTNÚ CESTU", uvedomiť si priority </w:t>
      </w:r>
      <w:r w:rsidDel="00000000" w:rsidR="00000000" w:rsidRPr="00000000">
        <w:rPr>
          <w:rFonts w:ascii="Cambria" w:cs="Cambria" w:eastAsia="Cambria" w:hAnsi="Cambria"/>
          <w:rtl w:val="0"/>
        </w:rPr>
        <w:t xml:space="preserve">tréningu topformy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nielen </w:t>
      </w:r>
      <w:r w:rsidDel="00000000" w:rsidR="00000000" w:rsidRPr="00000000">
        <w:rPr>
          <w:rFonts w:ascii="Cambria" w:cs="Cambria" w:eastAsia="Cambria" w:hAnsi="Cambria"/>
          <w:rtl w:val="0"/>
        </w:rPr>
        <w:t xml:space="preserve">prečo trénuje (plnenie cieľov vlastnej cestovnej mapy, radosť s kolektivu a súťaženia) </w:t>
      </w:r>
      <w:r w:rsidDel="00000000" w:rsidR="00000000" w:rsidRPr="00000000">
        <w:rPr>
          <w:rtl w:val="0"/>
        </w:rPr>
        <w:t xml:space="preserve">ale aj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čo trénuj</w:t>
      </w:r>
      <w:r w:rsidDel="00000000" w:rsidR="00000000" w:rsidRPr="00000000">
        <w:rPr>
          <w:rFonts w:ascii="Cambria" w:cs="Cambria" w:eastAsia="Cambria" w:hAnsi="Cambria"/>
          <w:rtl w:val="0"/>
        </w:rPr>
        <w:t xml:space="preserve">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v</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ČOM ZAOSTÁVA</w:t>
      </w:r>
      <w:r w:rsidDel="00000000" w:rsidR="00000000" w:rsidRPr="00000000">
        <w:rPr>
          <w:rFonts w:ascii="Cambria" w:cs="Cambria" w:eastAsia="Cambria" w:hAnsi="Cambria"/>
          <w:rtl w:val="0"/>
        </w:rPr>
        <w:t xml:space="preserve">,a ako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ĎALEJ</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rtl w:val="0"/>
        </w:rPr>
        <w:t xml:space="preserve">EDUKAČNE vplývať na MENTÁLNY rozvoj zverencov,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trénova</w:t>
      </w:r>
      <w:r w:rsidDel="00000000" w:rsidR="00000000" w:rsidRPr="00000000">
        <w:rPr>
          <w:rFonts w:ascii="Cambria" w:cs="Cambria" w:eastAsia="Cambria" w:hAnsi="Cambria"/>
          <w:rtl w:val="0"/>
        </w:rPr>
        <w:t xml:space="preserve">ť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kritickým SEBA HODNOTENÍM</w:t>
      </w:r>
      <w:r w:rsidDel="00000000" w:rsidR="00000000" w:rsidRPr="00000000">
        <w:rPr>
          <w:rFonts w:ascii="Cambria" w:cs="Cambria" w:eastAsia="Cambria" w:hAnsi="Cambria"/>
          <w:rtl w:val="0"/>
        </w:rPr>
        <w:t xml:space="preserve">, vieť si 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réningový denní</w:t>
      </w:r>
      <w:r w:rsidDel="00000000" w:rsidR="00000000" w:rsidRPr="00000000">
        <w:rPr>
          <w:rFonts w:ascii="Cambria" w:cs="Cambria" w:eastAsia="Cambria" w:hAnsi="Cambria"/>
          <w:rtl w:val="0"/>
        </w:rPr>
        <w:t xml:space="preserve">k</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 cestovnú map</w:t>
      </w:r>
      <w:r w:rsidDel="00000000" w:rsidR="00000000" w:rsidRPr="00000000">
        <w:rPr>
          <w:rFonts w:ascii="Cambria" w:cs="Cambria" w:eastAsia="Cambria" w:hAnsi="Cambria"/>
          <w:rtl w:val="0"/>
        </w:rPr>
        <w:t xml:space="preserve">u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cieľov</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635"/>
        </w:tabs>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FLEXIBILNÝMI CIEĽMI MOTIVOV</w:t>
      </w:r>
      <w:r w:rsidDel="00000000" w:rsidR="00000000" w:rsidRPr="00000000">
        <w:rPr>
          <w:rFonts w:ascii="Cambria" w:cs="Cambria" w:eastAsia="Cambria" w:hAnsi="Cambria"/>
          <w:rtl w:val="0"/>
        </w:rPr>
        <w:t xml:space="preserve">OVAŤ</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aj menej výkonných nielen </w:t>
      </w:r>
      <w:r w:rsidDel="00000000" w:rsidR="00000000" w:rsidRPr="00000000">
        <w:rPr>
          <w:rFonts w:ascii="Cambria" w:cs="Cambria" w:eastAsia="Cambria" w:hAnsi="Cambria"/>
          <w:rtl w:val="0"/>
        </w:rPr>
        <w:t xml:space="preserve">AKCELEROVANÝCH,</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aktivovať  efekt "fenoména horolezca"</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2635"/>
        </w:tabs>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rPr>
          <w:rFonts w:ascii="Cambria" w:cs="Cambria" w:eastAsia="Cambria" w:hAnsi="Cambria"/>
          <w:sz w:val="24"/>
          <w:szCs w:val="24"/>
        </w:rPr>
      </w:pPr>
      <w:r w:rsidDel="00000000" w:rsidR="00000000" w:rsidRPr="00000000">
        <w:rPr>
          <w:rFonts w:ascii="Cambria" w:cs="Cambria" w:eastAsia="Cambria" w:hAnsi="Cambria"/>
          <w:sz w:val="24"/>
          <w:szCs w:val="24"/>
          <w:highlight w:val="yellow"/>
          <w:u w:val="single"/>
          <w:rtl w:val="0"/>
        </w:rPr>
        <w:t xml:space="preserve">Realizácia týchto princípov v tréningovej praxi plaveckej sezóny vyžaduje  "vidieť  pozadie"  TOPFORMY zverencov</w:t>
      </w:r>
      <w:r w:rsidDel="00000000" w:rsidR="00000000" w:rsidRPr="00000000">
        <w:rPr>
          <w:rFonts w:ascii="Cambria" w:cs="Cambria" w:eastAsia="Cambria" w:hAnsi="Cambria"/>
          <w:sz w:val="24"/>
          <w:szCs w:val="24"/>
          <w:u w:val="single"/>
          <w:rtl w:val="0"/>
        </w:rPr>
        <w:t xml:space="preserve">. V príspevku poskytujeme štvorročné skúsenosti z nášho pilotného projektu.</w:t>
      </w:r>
      <w:r w:rsidDel="00000000" w:rsidR="00000000" w:rsidRPr="00000000">
        <w:rPr>
          <w:rtl w:val="0"/>
        </w:rPr>
      </w:r>
    </w:p>
    <w:p w:rsidR="00000000" w:rsidDel="00000000" w:rsidP="00000000" w:rsidRDefault="00000000" w:rsidRPr="00000000" w14:paraId="00000011">
      <w:pPr>
        <w:rPr>
          <w:rFonts w:ascii="Cambria" w:cs="Cambria" w:eastAsia="Cambria" w:hAnsi="Cambria"/>
        </w:rPr>
      </w:pPr>
      <w:r w:rsidDel="00000000" w:rsidR="00000000" w:rsidRPr="00000000">
        <w:rPr>
          <w:rFonts w:ascii="Cambria" w:cs="Cambria" w:eastAsia="Cambria" w:hAnsi="Cambria"/>
          <w:rtl w:val="0"/>
        </w:rPr>
        <w:t xml:space="preserve">Uvedomujeme si , že vysoká výkonnosť akcelerovaného plavca Age Group, dosiahnutá tréningom topformy, taktiež nemusí garantovať úspešnosť v zrelom veku. Spájanie tréningu s diagnostikou nám umožňuje  operatívnejšie korigovať tréningové zámery a najtalentovanejším nastaviť sezónu resp. dlhodobú prípravu na náročné požiadavky juniorskej reprezentácie (pozri tab.č.1). Stratégiou topformy  aktivujeme efekt "fenoména horolezca“ a MOTIVUJEME  K CIEĽAVEDOMÉMU NAPREDOVANIU aj  plavcov s nevýraznou výkonnosťou a biologickou zrelosťou. Podľa  rozsahu biologickej a výkonnostnej odlišnosti rozsah, zameranie a ciele tréningu vnútorne diferencujeme (pozri obr.č.4). </w:t>
      </w:r>
    </w:p>
    <w:p w:rsidR="00000000" w:rsidDel="00000000" w:rsidP="00000000" w:rsidRDefault="00000000" w:rsidRPr="00000000" w14:paraId="00000012">
      <w:pPr>
        <w:rPr>
          <w:rFonts w:ascii="Cambria" w:cs="Cambria" w:eastAsia="Cambria" w:hAnsi="Cambria"/>
        </w:rPr>
      </w:pPr>
      <w:r w:rsidDel="00000000" w:rsidR="00000000" w:rsidRPr="00000000">
        <w:rPr>
          <w:rFonts w:ascii="Cambria" w:cs="Cambria" w:eastAsia="Cambria" w:hAnsi="Cambria"/>
          <w:rtl w:val="0"/>
        </w:rPr>
        <w:t xml:space="preserve">Máme vytvorené 3 tréningové skupiny T3  8-10 ročných, 2 skupiny  T2 9-11 ročných  a 1 skupinu T1 11-14 ročných. Nepravidelne trénujúci 10-14 roční sú zaradení do hobby alebo kondičnej skupiny. V rámci týchto skupín slabším umožňujeme trénovať s výkonnostne akcelerovanými , čo má v klube nielen psychologický  ale ekonomický pozitívny dosah.</w:t>
      </w:r>
    </w:p>
    <w:tbl>
      <w:tblPr>
        <w:tblStyle w:val="Table1"/>
        <w:tblW w:w="6204.000000000001"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1"/>
        <w:gridCol w:w="1603"/>
        <w:gridCol w:w="1950"/>
        <w:tblGridChange w:id="0">
          <w:tblGrid>
            <w:gridCol w:w="2651"/>
            <w:gridCol w:w="1603"/>
            <w:gridCol w:w="1950"/>
          </w:tblGrid>
        </w:tblGridChange>
      </w:tblGrid>
      <w:tr>
        <w:tc>
          <w:tcPr>
            <w:gridSpan w:val="3"/>
            <w:shd w:fill="ffff00" w:val="clear"/>
          </w:tcPr>
          <w:p w:rsidR="00000000" w:rsidDel="00000000" w:rsidP="00000000" w:rsidRDefault="00000000" w:rsidRPr="00000000" w14:paraId="00000013">
            <w:pPr>
              <w:rPr>
                <w:rFonts w:ascii="Cambria" w:cs="Cambria" w:eastAsia="Cambria" w:hAnsi="Cambria"/>
              </w:rPr>
            </w:pPr>
            <w:r w:rsidDel="00000000" w:rsidR="00000000" w:rsidRPr="00000000">
              <w:rPr>
                <w:rFonts w:ascii="Cambria" w:cs="Cambria" w:eastAsia="Cambria" w:hAnsi="Cambria"/>
                <w:rtl w:val="0"/>
              </w:rPr>
              <w:t xml:space="preserve">  ROZSAH   TRÉNINGOVÉHO   ZAŤAŽENIA  v plav. klube  Azeta </w:t>
            </w:r>
          </w:p>
        </w:tc>
      </w:tr>
      <w:tr>
        <w:tc>
          <w:tcPr>
            <w:shd w:fill="ffff00" w:val="clear"/>
          </w:tcPr>
          <w:p w:rsidR="00000000" w:rsidDel="00000000" w:rsidP="00000000" w:rsidRDefault="00000000" w:rsidRPr="00000000" w14:paraId="00000016">
            <w:pPr>
              <w:rPr>
                <w:rFonts w:ascii="Cambria" w:cs="Cambria" w:eastAsia="Cambria" w:hAnsi="Cambria"/>
              </w:rPr>
            </w:pPr>
            <w:r w:rsidDel="00000000" w:rsidR="00000000" w:rsidRPr="00000000">
              <w:rPr>
                <w:rFonts w:ascii="Cambria" w:cs="Cambria" w:eastAsia="Cambria" w:hAnsi="Cambria"/>
                <w:rtl w:val="0"/>
              </w:rPr>
              <w:t xml:space="preserve">TRÉNINGOVÁ SKUPINA</w:t>
            </w:r>
          </w:p>
        </w:tc>
        <w:tc>
          <w:tcPr>
            <w:shd w:fill="ffff00" w:val="clear"/>
          </w:tcPr>
          <w:p w:rsidR="00000000" w:rsidDel="00000000" w:rsidP="00000000" w:rsidRDefault="00000000" w:rsidRPr="00000000" w14:paraId="00000017">
            <w:pPr>
              <w:rPr>
                <w:rFonts w:ascii="Cambria" w:cs="Cambria" w:eastAsia="Cambria" w:hAnsi="Cambria"/>
              </w:rPr>
            </w:pPr>
            <w:r w:rsidDel="00000000" w:rsidR="00000000" w:rsidRPr="00000000">
              <w:rPr>
                <w:rFonts w:ascii="Cambria" w:cs="Cambria" w:eastAsia="Cambria" w:hAnsi="Cambria"/>
                <w:rtl w:val="0"/>
              </w:rPr>
              <w:t xml:space="preserve">OBJEM  GYM</w:t>
            </w:r>
          </w:p>
        </w:tc>
        <w:tc>
          <w:tcPr>
            <w:shd w:fill="ffff00" w:val="clear"/>
          </w:tcPr>
          <w:p w:rsidR="00000000" w:rsidDel="00000000" w:rsidP="00000000" w:rsidRDefault="00000000" w:rsidRPr="00000000" w14:paraId="00000018">
            <w:pPr>
              <w:rPr>
                <w:rFonts w:ascii="Cambria" w:cs="Cambria" w:eastAsia="Cambria" w:hAnsi="Cambria"/>
              </w:rPr>
            </w:pPr>
            <w:r w:rsidDel="00000000" w:rsidR="00000000" w:rsidRPr="00000000">
              <w:rPr>
                <w:rFonts w:ascii="Cambria" w:cs="Cambria" w:eastAsia="Cambria" w:hAnsi="Cambria"/>
                <w:rtl w:val="0"/>
              </w:rPr>
              <w:t xml:space="preserve">OBJEM  VODY</w:t>
            </w:r>
          </w:p>
        </w:tc>
      </w:tr>
      <w:tr>
        <w:tc>
          <w:tcPr>
            <w:shd w:fill="ffff00" w:val="clear"/>
          </w:tcPr>
          <w:p w:rsidR="00000000" w:rsidDel="00000000" w:rsidP="00000000" w:rsidRDefault="00000000" w:rsidRPr="00000000" w14:paraId="00000019">
            <w:pPr>
              <w:rPr>
                <w:rFonts w:ascii="Cambria" w:cs="Cambria" w:eastAsia="Cambria" w:hAnsi="Cambria"/>
              </w:rPr>
            </w:pPr>
            <w:r w:rsidDel="00000000" w:rsidR="00000000" w:rsidRPr="00000000">
              <w:rPr>
                <w:rFonts w:ascii="Cambria" w:cs="Cambria" w:eastAsia="Cambria" w:hAnsi="Cambria"/>
                <w:rtl w:val="0"/>
              </w:rPr>
              <w:t xml:space="preserve">T3 a/b/c         8-10 roční</w:t>
            </w:r>
          </w:p>
        </w:tc>
        <w:tc>
          <w:tcPr/>
          <w:p w:rsidR="00000000" w:rsidDel="00000000" w:rsidP="00000000" w:rsidRDefault="00000000" w:rsidRPr="00000000" w14:paraId="0000001A">
            <w:pPr>
              <w:rPr>
                <w:rFonts w:ascii="Cambria" w:cs="Cambria" w:eastAsia="Cambria" w:hAnsi="Cambria"/>
              </w:rPr>
            </w:pPr>
            <w:r w:rsidDel="00000000" w:rsidR="00000000" w:rsidRPr="00000000">
              <w:rPr>
                <w:rFonts w:ascii="Cambria" w:cs="Cambria" w:eastAsia="Cambria" w:hAnsi="Cambria"/>
                <w:rtl w:val="0"/>
              </w:rPr>
              <w:t xml:space="preserve">1,5H/3x30min</w:t>
            </w:r>
          </w:p>
        </w:tc>
        <w:tc>
          <w:tcPr/>
          <w:p w:rsidR="00000000" w:rsidDel="00000000" w:rsidP="00000000" w:rsidRDefault="00000000" w:rsidRPr="00000000" w14:paraId="0000001B">
            <w:pPr>
              <w:rPr>
                <w:rFonts w:ascii="Cambria" w:cs="Cambria" w:eastAsia="Cambria" w:hAnsi="Cambria"/>
              </w:rPr>
            </w:pPr>
            <w:r w:rsidDel="00000000" w:rsidR="00000000" w:rsidRPr="00000000">
              <w:rPr>
                <w:rFonts w:ascii="Cambria" w:cs="Cambria" w:eastAsia="Cambria" w:hAnsi="Cambria"/>
                <w:rtl w:val="0"/>
              </w:rPr>
              <w:t xml:space="preserve">3H/ 3x60min</w:t>
            </w:r>
          </w:p>
        </w:tc>
      </w:tr>
      <w:tr>
        <w:tc>
          <w:tcPr>
            <w:shd w:fill="ffff00" w:val="clear"/>
          </w:tcPr>
          <w:p w:rsidR="00000000" w:rsidDel="00000000" w:rsidP="00000000" w:rsidRDefault="00000000" w:rsidRPr="00000000" w14:paraId="0000001C">
            <w:pPr>
              <w:rPr>
                <w:rFonts w:ascii="Cambria" w:cs="Cambria" w:eastAsia="Cambria" w:hAnsi="Cambria"/>
              </w:rPr>
            </w:pPr>
            <w:r w:rsidDel="00000000" w:rsidR="00000000" w:rsidRPr="00000000">
              <w:rPr>
                <w:rFonts w:ascii="Cambria" w:cs="Cambria" w:eastAsia="Cambria" w:hAnsi="Cambria"/>
                <w:rtl w:val="0"/>
              </w:rPr>
              <w:t xml:space="preserve">T2 a/b             9-11 roční</w:t>
            </w:r>
          </w:p>
        </w:tc>
        <w:tc>
          <w:tcPr/>
          <w:p w:rsidR="00000000" w:rsidDel="00000000" w:rsidP="00000000" w:rsidRDefault="00000000" w:rsidRPr="00000000" w14:paraId="0000001D">
            <w:pPr>
              <w:rPr>
                <w:rFonts w:ascii="Cambria" w:cs="Cambria" w:eastAsia="Cambria" w:hAnsi="Cambria"/>
              </w:rPr>
            </w:pPr>
            <w:r w:rsidDel="00000000" w:rsidR="00000000" w:rsidRPr="00000000">
              <w:rPr>
                <w:rFonts w:ascii="Cambria" w:cs="Cambria" w:eastAsia="Cambria" w:hAnsi="Cambria"/>
                <w:rtl w:val="0"/>
              </w:rPr>
              <w:t xml:space="preserve">2H/   4x30min</w:t>
            </w:r>
          </w:p>
        </w:tc>
        <w:tc>
          <w:tcPr/>
          <w:p w:rsidR="00000000" w:rsidDel="00000000" w:rsidP="00000000" w:rsidRDefault="00000000" w:rsidRPr="00000000" w14:paraId="0000001E">
            <w:pPr>
              <w:rPr>
                <w:rFonts w:ascii="Cambria" w:cs="Cambria" w:eastAsia="Cambria" w:hAnsi="Cambria"/>
              </w:rPr>
            </w:pPr>
            <w:r w:rsidDel="00000000" w:rsidR="00000000" w:rsidRPr="00000000">
              <w:rPr>
                <w:rFonts w:ascii="Cambria" w:cs="Cambria" w:eastAsia="Cambria" w:hAnsi="Cambria"/>
                <w:rtl w:val="0"/>
              </w:rPr>
              <w:t xml:space="preserve">4-6H/ 4x60-90</w:t>
            </w:r>
          </w:p>
        </w:tc>
      </w:tr>
      <w:tr>
        <w:tc>
          <w:tcPr>
            <w:shd w:fill="ffff00" w:val="clear"/>
          </w:tcPr>
          <w:p w:rsidR="00000000" w:rsidDel="00000000" w:rsidP="00000000" w:rsidRDefault="00000000" w:rsidRPr="00000000" w14:paraId="0000001F">
            <w:pPr>
              <w:rPr>
                <w:rFonts w:ascii="Cambria" w:cs="Cambria" w:eastAsia="Cambria" w:hAnsi="Cambria"/>
              </w:rPr>
            </w:pPr>
            <w:r w:rsidDel="00000000" w:rsidR="00000000" w:rsidRPr="00000000">
              <w:rPr>
                <w:rFonts w:ascii="Cambria" w:cs="Cambria" w:eastAsia="Cambria" w:hAnsi="Cambria"/>
                <w:rtl w:val="0"/>
              </w:rPr>
              <w:t xml:space="preserve">T1                   11-14 roční</w:t>
            </w:r>
          </w:p>
        </w:tc>
        <w:tc>
          <w:tcPr/>
          <w:p w:rsidR="00000000" w:rsidDel="00000000" w:rsidP="00000000" w:rsidRDefault="00000000" w:rsidRPr="00000000" w14:paraId="00000020">
            <w:pPr>
              <w:rPr>
                <w:rFonts w:ascii="Cambria" w:cs="Cambria" w:eastAsia="Cambria" w:hAnsi="Cambria"/>
              </w:rPr>
            </w:pPr>
            <w:r w:rsidDel="00000000" w:rsidR="00000000" w:rsidRPr="00000000">
              <w:rPr>
                <w:rFonts w:ascii="Cambria" w:cs="Cambria" w:eastAsia="Cambria" w:hAnsi="Cambria"/>
                <w:rtl w:val="0"/>
              </w:rPr>
              <w:t xml:space="preserve">3H/   3x45-60</w:t>
            </w:r>
          </w:p>
        </w:tc>
        <w:tc>
          <w:tcPr/>
          <w:p w:rsidR="00000000" w:rsidDel="00000000" w:rsidP="00000000" w:rsidRDefault="00000000" w:rsidRPr="00000000" w14:paraId="00000021">
            <w:pPr>
              <w:rPr>
                <w:rFonts w:ascii="Cambria" w:cs="Cambria" w:eastAsia="Cambria" w:hAnsi="Cambria"/>
              </w:rPr>
            </w:pPr>
            <w:r w:rsidDel="00000000" w:rsidR="00000000" w:rsidRPr="00000000">
              <w:rPr>
                <w:rFonts w:ascii="Cambria" w:cs="Cambria" w:eastAsia="Cambria" w:hAnsi="Cambria"/>
                <w:rtl w:val="0"/>
              </w:rPr>
              <w:t xml:space="preserve">7-9H/5-6x90-120</w:t>
            </w:r>
          </w:p>
        </w:tc>
      </w:tr>
    </w:tbl>
    <w:p w:rsidR="00000000" w:rsidDel="00000000" w:rsidP="00000000" w:rsidRDefault="00000000" w:rsidRPr="00000000" w14:paraId="00000022">
      <w:pPr>
        <w:rPr>
          <w:rFonts w:ascii="Cambria" w:cs="Cambria" w:eastAsia="Cambria" w:hAnsi="Cambria"/>
        </w:rPr>
      </w:pPr>
      <w:r w:rsidDel="00000000" w:rsidR="00000000" w:rsidRPr="00000000">
        <w:rPr>
          <w:rtl w:val="0"/>
        </w:rPr>
      </w:r>
    </w:p>
    <w:p w:rsidR="00000000" w:rsidDel="00000000" w:rsidP="00000000" w:rsidRDefault="00000000" w:rsidRPr="00000000" w14:paraId="00000023">
      <w:pPr>
        <w:rPr>
          <w:rFonts w:ascii="Cambria" w:cs="Cambria" w:eastAsia="Cambria" w:hAnsi="Cambria"/>
        </w:rPr>
      </w:pPr>
      <w:r w:rsidDel="00000000" w:rsidR="00000000" w:rsidRPr="00000000">
        <w:rPr>
          <w:rFonts w:ascii="Cambria" w:cs="Cambria" w:eastAsia="Cambria" w:hAnsi="Cambria"/>
          <w:rtl w:val="0"/>
        </w:rPr>
        <w:t xml:space="preserve">Rozlíšiť rôznosť proporcionálnosti štruktúry talentu a  telesnej a biologickej zrelosti 9-14 ročných zverencov nám umožňuje analýza nameraných hodnôt v týchto štyroch blokoch (pozri obr.č.4) :</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1.blok.  KOMPLEXNOSŤ PLAVECKÉHO VÝKONNOSTNÉHO POTENCIÁLU – TOPFORMA ,  11% predikciou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2.blok.  ŠPECIFICKÉ komponenty talentu , 50% predikciou </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3.blok.  NEŠPECIFICKÉ komponenty talentu, 24% predikciou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4.blok.  TELESNÁ A BIOLOGICKÁ ZRELOSŤ, 16% predikciou </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02" w:right="0" w:hanging="72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Poznámka:  % predikcie, komponenty talentu limitujúce úspešnosti v zrelom veku sú uvedené v koncepcie nemeckého mládežníckeho plávania (Nachwuchskonzepcion DSV, 2015)</w:t>
      </w:r>
    </w:p>
    <w:p w:rsidR="00000000" w:rsidDel="00000000" w:rsidP="00000000" w:rsidRDefault="00000000" w:rsidRPr="00000000" w14:paraId="00000029">
      <w:pPr>
        <w:rPr>
          <w:rFonts w:ascii="Cambria" w:cs="Cambria" w:eastAsia="Cambria" w:hAnsi="Cambria"/>
        </w:rPr>
      </w:pPr>
      <w:r w:rsidDel="00000000" w:rsidR="00000000" w:rsidRPr="00000000">
        <w:rPr>
          <w:rFonts w:ascii="Cambria" w:cs="Cambria" w:eastAsia="Cambria" w:hAnsi="Cambria"/>
          <w:rtl w:val="0"/>
        </w:rPr>
        <w:t xml:space="preserve">Obr.č.4 Rozdielnosť proporcionálnosti  štyroch blokov komponentov  talentu výkonnostne akcelerovaného plavca (13 ročný M.K.) a menej výkonného plavca (13 ročný D.F.) trénujúcich v rovnakej tréningovej skupine   pk Azata</w:t>
      </w:r>
    </w:p>
    <w:p w:rsidR="00000000" w:rsidDel="00000000" w:rsidP="00000000" w:rsidRDefault="00000000" w:rsidRPr="00000000" w14:paraId="0000002A">
      <w:pPr>
        <w:rPr>
          <w:rFonts w:ascii="Cambria" w:cs="Cambria" w:eastAsia="Cambria" w:hAnsi="Cambria"/>
        </w:rPr>
      </w:pPr>
      <w:r w:rsidDel="00000000" w:rsidR="00000000" w:rsidRPr="00000000">
        <w:rPr>
          <w:rFonts w:ascii="Cambria" w:cs="Cambria" w:eastAsia="Cambria" w:hAnsi="Cambria"/>
        </w:rPr>
        <w:drawing>
          <wp:inline distB="0" distT="0" distL="0" distR="0">
            <wp:extent cx="5695950" cy="2962275"/>
            <wp:effectExtent b="9525" l="0" r="19050" t="0"/>
            <wp:docPr id="1" name=""/>
            <a:graphic>
              <a:graphicData uri="http://schemas.openxmlformats.org/drawingml/2006/chart">
                <c:chart r:id="rId6"/>
              </a:graphicData>
            </a:graphic>
          </wp:inline>
        </w:drawing>
      </w:r>
      <w:r w:rsidDel="00000000" w:rsidR="00000000" w:rsidRPr="00000000">
        <w:rPr>
          <w:rtl w:val="0"/>
        </w:rPr>
      </w:r>
    </w:p>
    <w:p w:rsidR="00000000" w:rsidDel="00000000" w:rsidP="00000000" w:rsidRDefault="00000000" w:rsidRPr="00000000" w14:paraId="0000002B">
      <w:pPr>
        <w:rPr>
          <w:rFonts w:ascii="Cambria" w:cs="Cambria" w:eastAsia="Cambria" w:hAnsi="Cambria"/>
        </w:rPr>
      </w:pPr>
      <w:r w:rsidDel="00000000" w:rsidR="00000000" w:rsidRPr="00000000">
        <w:rPr>
          <w:rFonts w:ascii="Cambria" w:cs="Cambria" w:eastAsia="Cambria" w:hAnsi="Cambria"/>
          <w:rtl w:val="0"/>
        </w:rPr>
        <w:t xml:space="preserve">Poznámka: Škála selekcie talentu (DSV,2015) ukázala výkonnostne akcelerovanému  plavcovi  M.K. až 94% plnenie komplexného plaveckého výkonnostného potenciálu a plavcovi  D.F. len  39% úspešnosť.</w:t>
      </w:r>
    </w:p>
    <w:p w:rsidR="00000000" w:rsidDel="00000000" w:rsidP="00000000" w:rsidRDefault="00000000" w:rsidRPr="00000000" w14:paraId="0000002C">
      <w:pPr>
        <w:rPr>
          <w:rFonts w:ascii="Cambria" w:cs="Cambria" w:eastAsia="Cambria" w:hAnsi="Cambria"/>
        </w:rPr>
      </w:pPr>
      <w:r w:rsidDel="00000000" w:rsidR="00000000" w:rsidRPr="00000000">
        <w:rPr>
          <w:rtl w:val="0"/>
        </w:rPr>
      </w:r>
    </w:p>
    <w:p w:rsidR="00000000" w:rsidDel="00000000" w:rsidP="00000000" w:rsidRDefault="00000000" w:rsidRPr="00000000" w14:paraId="0000002D">
      <w:pPr>
        <w:tabs>
          <w:tab w:val="left" w:pos="2635"/>
        </w:tabs>
        <w:rPr>
          <w:rFonts w:ascii="Cambria" w:cs="Cambria" w:eastAsia="Cambria" w:hAnsi="Cambria"/>
          <w:sz w:val="24"/>
          <w:szCs w:val="24"/>
          <w:u w:val="single"/>
        </w:rPr>
      </w:pPr>
      <w:r w:rsidDel="00000000" w:rsidR="00000000" w:rsidRPr="00000000">
        <w:rPr>
          <w:rFonts w:ascii="Cambria" w:cs="Cambria" w:eastAsia="Cambria" w:hAnsi="Cambria"/>
          <w:sz w:val="24"/>
          <w:szCs w:val="24"/>
          <w:highlight w:val="yellow"/>
          <w:u w:val="single"/>
          <w:rtl w:val="0"/>
        </w:rPr>
        <w:t xml:space="preserve">1.BLOK- PROPORCIONÁLNOSŤ TALENTU Z POHĽADU TOPFORMY -KOMPLEXNOSTI PLAVECKÉHO VÝKONNOSTNÉHO POTENCIÁLU</w:t>
      </w:r>
      <w:r w:rsidDel="00000000" w:rsidR="00000000" w:rsidRPr="00000000">
        <w:rPr>
          <w:rtl w:val="0"/>
        </w:rPr>
      </w:r>
    </w:p>
    <w:p w:rsidR="00000000" w:rsidDel="00000000" w:rsidP="00000000" w:rsidRDefault="00000000" w:rsidRPr="00000000" w14:paraId="0000002E">
      <w:pPr>
        <w:tabs>
          <w:tab w:val="left" w:pos="2635"/>
        </w:tabs>
        <w:rPr>
          <w:rFonts w:ascii="Cambria" w:cs="Cambria" w:eastAsia="Cambria" w:hAnsi="Cambria"/>
        </w:rPr>
      </w:pPr>
      <w:r w:rsidDel="00000000" w:rsidR="00000000" w:rsidRPr="00000000">
        <w:rPr>
          <w:rFonts w:ascii="Cambria" w:cs="Cambria" w:eastAsia="Cambria" w:hAnsi="Cambria"/>
          <w:rtl w:val="0"/>
        </w:rPr>
        <w:t xml:space="preserve">Patrí k špeciálnym komponentom talentu  s nízkou 11% predikciou úspešnosti v zrelom veku.  V prvých rokoch  dlhodobej prípravy  k plánovaniu výkonnostných cieľov zverencov preto pristupujeme maximálne flexibilne. Dôraz dávame na KOMPLEXNOSŤ a PROPORCIONÁLNOSŤ výkonnosti (topformy), nielen na ÚROVEŇ výkonnosti. </w:t>
      </w:r>
    </w:p>
    <w:p w:rsidR="00000000" w:rsidDel="00000000" w:rsidP="00000000" w:rsidRDefault="00000000" w:rsidRPr="00000000" w14:paraId="0000002F">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30">
      <w:pPr>
        <w:tabs>
          <w:tab w:val="left" w:pos="2635"/>
        </w:tabs>
        <w:rPr>
          <w:rFonts w:ascii="Cambria" w:cs="Cambria" w:eastAsia="Cambria" w:hAnsi="Cambria"/>
        </w:rPr>
      </w:pPr>
      <w:r w:rsidDel="00000000" w:rsidR="00000000" w:rsidRPr="00000000">
        <w:rPr>
          <w:rFonts w:ascii="Cambria" w:cs="Cambria" w:eastAsia="Cambria" w:hAnsi="Cambria"/>
          <w:rtl w:val="0"/>
        </w:rPr>
        <w:t xml:space="preserve">Za talentovaných resp. perspektívnych, považujeme všetky tri úrovne komplexného výkonnostného potenciálu (pozri Rudolphtabelle, 2020), riešením je systematická práce s oveľa výraznejšími komponentmi talentu (pozri blok 2 a 3) :  </w:t>
      </w:r>
    </w:p>
    <w:p w:rsidR="00000000" w:rsidDel="00000000" w:rsidP="00000000" w:rsidRDefault="00000000" w:rsidRPr="00000000" w14:paraId="00000031">
      <w:pPr>
        <w:numPr>
          <w:ilvl w:val="0"/>
          <w:numId w:val="5"/>
        </w:numPr>
        <w:spacing w:after="0" w:lineRule="auto"/>
        <w:ind w:left="1069" w:hanging="360"/>
        <w:rPr/>
      </w:pPr>
      <w:r w:rsidDel="00000000" w:rsidR="00000000" w:rsidRPr="00000000">
        <w:rPr>
          <w:rFonts w:ascii="Cambria" w:cs="Cambria" w:eastAsia="Cambria" w:hAnsi="Cambria"/>
          <w:rtl w:val="0"/>
        </w:rPr>
        <w:t xml:space="preserve">3-5 bodov -      klubová úroveň</w:t>
      </w:r>
      <w:r w:rsidDel="00000000" w:rsidR="00000000" w:rsidRPr="00000000">
        <w:rPr>
          <w:rtl w:val="0"/>
        </w:rPr>
      </w:r>
    </w:p>
    <w:p w:rsidR="00000000" w:rsidDel="00000000" w:rsidP="00000000" w:rsidRDefault="00000000" w:rsidRPr="00000000" w14:paraId="00000032">
      <w:pPr>
        <w:numPr>
          <w:ilvl w:val="0"/>
          <w:numId w:val="5"/>
        </w:numPr>
        <w:spacing w:after="0" w:lineRule="auto"/>
        <w:ind w:left="1069" w:hanging="360"/>
        <w:rPr/>
      </w:pPr>
      <w:r w:rsidDel="00000000" w:rsidR="00000000" w:rsidRPr="00000000">
        <w:rPr>
          <w:rFonts w:ascii="Cambria" w:cs="Cambria" w:eastAsia="Cambria" w:hAnsi="Cambria"/>
          <w:rtl w:val="0"/>
        </w:rPr>
        <w:t xml:space="preserve">8-10 bodov-     národná úroveň</w:t>
      </w:r>
      <w:r w:rsidDel="00000000" w:rsidR="00000000" w:rsidRPr="00000000">
        <w:rPr>
          <w:rtl w:val="0"/>
        </w:rPr>
      </w:r>
    </w:p>
    <w:p w:rsidR="00000000" w:rsidDel="00000000" w:rsidP="00000000" w:rsidRDefault="00000000" w:rsidRPr="00000000" w14:paraId="00000033">
      <w:pPr>
        <w:numPr>
          <w:ilvl w:val="0"/>
          <w:numId w:val="5"/>
        </w:numPr>
        <w:ind w:left="1069" w:hanging="360"/>
        <w:rPr>
          <w:sz w:val="24"/>
          <w:szCs w:val="24"/>
        </w:rPr>
      </w:pPr>
      <w:r w:rsidDel="00000000" w:rsidR="00000000" w:rsidRPr="00000000">
        <w:rPr>
          <w:rFonts w:ascii="Cambria" w:cs="Cambria" w:eastAsia="Cambria" w:hAnsi="Cambria"/>
          <w:rtl w:val="0"/>
        </w:rPr>
        <w:t xml:space="preserve">13-17 bodov -  medzinárodná úroveň, nadväzuje na limity EYOF, EYOW a MEJ. </w:t>
      </w:r>
      <w:r w:rsidDel="00000000" w:rsidR="00000000" w:rsidRPr="00000000">
        <w:rPr>
          <w:rtl w:val="0"/>
        </w:rPr>
      </w:r>
    </w:p>
    <w:p w:rsidR="00000000" w:rsidDel="00000000" w:rsidP="00000000" w:rsidRDefault="00000000" w:rsidRPr="00000000" w14:paraId="00000034">
      <w:pPr>
        <w:rPr>
          <w:rFonts w:ascii="Cambria" w:cs="Cambria" w:eastAsia="Cambria" w:hAnsi="Cambria"/>
        </w:rPr>
      </w:pPr>
      <w:r w:rsidDel="00000000" w:rsidR="00000000" w:rsidRPr="00000000">
        <w:rPr>
          <w:rFonts w:ascii="Cambria" w:cs="Cambria" w:eastAsia="Cambria" w:hAnsi="Cambria"/>
          <w:rtl w:val="0"/>
        </w:rPr>
        <w:t xml:space="preserve">Komplexnosť plaveckého potenciálu – topformu,  hodnotíme tromi ukazovateľmi výkonnosti :                   </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 </w:t>
      </w: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aeróbnej vytrvalosti</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(mladších 400-800, starších 1500 kraul) a                 </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v plaveckej všestrannosti</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(výkonnosť v troch 100m, mladších 50m plaveckých spôsoboch) </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635"/>
        </w:tabs>
        <w:spacing w:after="200" w:before="0" w:line="276"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single"/>
          <w:shd w:fill="auto" w:val="clear"/>
          <w:vertAlign w:val="baseline"/>
          <w:rtl w:val="0"/>
        </w:rPr>
        <w:t xml:space="preserve">polohovkou</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(200PP resp. starších 400PP)</w:t>
      </w:r>
      <w:r w:rsidDel="00000000" w:rsidR="00000000" w:rsidRPr="00000000">
        <w:rPr>
          <w:rtl w:val="0"/>
        </w:rPr>
      </w:r>
    </w:p>
    <w:p w:rsidR="00000000" w:rsidDel="00000000" w:rsidP="00000000" w:rsidRDefault="00000000" w:rsidRPr="00000000" w14:paraId="00000038">
      <w:pPr>
        <w:tabs>
          <w:tab w:val="left" w:pos="2635"/>
        </w:tabs>
        <w:rPr/>
      </w:pPr>
      <w:r w:rsidDel="00000000" w:rsidR="00000000" w:rsidRPr="00000000">
        <w:rPr>
          <w:rtl w:val="0"/>
        </w:rPr>
        <w:t xml:space="preserve">Plavci majú povinnosť  na začiatku plaveckej sezóny v tréningovom denníku zhodnotiť  dosiahnutú ú</w:t>
      </w:r>
      <w:r w:rsidDel="00000000" w:rsidR="00000000" w:rsidRPr="00000000">
        <w:rPr>
          <w:rFonts w:ascii="Cambria" w:cs="Cambria" w:eastAsia="Cambria" w:hAnsi="Cambria"/>
          <w:rtl w:val="0"/>
        </w:rPr>
        <w:t xml:space="preserve">roveň a proporcionálnosť komplexného PLAVECKÉHO POTENCIÁLU – TOPFORMU</w:t>
      </w:r>
      <w:r w:rsidDel="00000000" w:rsidR="00000000" w:rsidRPr="00000000">
        <w:rPr>
          <w:rFonts w:ascii="Cambria" w:cs="Cambria" w:eastAsia="Cambria" w:hAnsi="Cambria"/>
          <w:color w:val="000000"/>
          <w:rtl w:val="0"/>
        </w:rPr>
        <w:t xml:space="preserve">. Skopírujú si tabuľku svojej vekovej kategórie (Rudolphtabelle DSV,2018), kde </w:t>
      </w:r>
      <w:r w:rsidDel="00000000" w:rsidR="00000000" w:rsidRPr="00000000">
        <w:rPr>
          <w:rFonts w:ascii="Cambria" w:cs="Cambria" w:eastAsia="Cambria" w:hAnsi="Cambria"/>
          <w:rtl w:val="0"/>
        </w:rPr>
        <w:t xml:space="preserve">žltou farbou vyfarbia dosiahnutú výkonnosť a  červenou farbou svoj plán na novú plaveckú sezónu (pozri obr.č.1).</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39">
      <w:pPr>
        <w:tabs>
          <w:tab w:val="left" w:pos="2635"/>
        </w:tabs>
        <w:rPr>
          <w:rFonts w:ascii="Cambria" w:cs="Cambria" w:eastAsia="Cambria" w:hAnsi="Cambria"/>
        </w:rPr>
      </w:pPr>
      <w:r w:rsidDel="00000000" w:rsidR="00000000" w:rsidRPr="00000000">
        <w:rPr>
          <w:rtl w:val="0"/>
        </w:rPr>
        <w:t xml:space="preserve">Obr. č. 1  Ú</w:t>
      </w:r>
      <w:r w:rsidDel="00000000" w:rsidR="00000000" w:rsidRPr="00000000">
        <w:rPr>
          <w:rFonts w:ascii="Cambria" w:cs="Cambria" w:eastAsia="Cambria" w:hAnsi="Cambria"/>
          <w:rtl w:val="0"/>
        </w:rPr>
        <w:t xml:space="preserve">roveň a proporcionálnosť komplexného PLAVECKÉHO POTENCIÁLU – TOPFORMA (žltá farba) a plán na novú plaveckú sezónu (červená farba)  11 ročného plavca  Azety  M.V. </w:t>
      </w:r>
      <w:r w:rsidDel="00000000" w:rsidR="00000000" w:rsidRPr="00000000">
        <w:rPr>
          <w:rFonts w:ascii="Cambria" w:cs="Cambria" w:eastAsia="Cambria" w:hAnsi="Cambria"/>
          <w:color w:val="000000"/>
          <w:rtl w:val="0"/>
        </w:rPr>
        <w:t xml:space="preserve">(Rudolphtabelle DSV,2018)         </w:t>
      </w:r>
      <w:r w:rsidDel="00000000" w:rsidR="00000000" w:rsidRPr="00000000">
        <w:rPr>
          <w:rFonts w:ascii="Cambria" w:cs="Cambria" w:eastAsia="Cambria" w:hAnsi="Cambria"/>
          <w:rtl w:val="0"/>
        </w:rPr>
        <w:t xml:space="preserve">         </w:t>
      </w:r>
    </w:p>
    <w:p w:rsidR="00000000" w:rsidDel="00000000" w:rsidP="00000000" w:rsidRDefault="00000000" w:rsidRPr="00000000" w14:paraId="0000003A">
      <w:pPr>
        <w:tabs>
          <w:tab w:val="left" w:pos="2635"/>
        </w:tabs>
        <w:rPr/>
      </w:pPr>
      <w:r w:rsidDel="00000000" w:rsidR="00000000" w:rsidRPr="00000000">
        <w:rPr>
          <w:rFonts w:ascii="Cambria" w:cs="Cambria" w:eastAsia="Cambria" w:hAnsi="Cambria"/>
        </w:rPr>
        <w:drawing>
          <wp:inline distB="0" distT="0" distL="0" distR="0">
            <wp:extent cx="6515540" cy="3397773"/>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515540" cy="3397773"/>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3B">
      <w:pPr>
        <w:rPr>
          <w:rFonts w:ascii="Cambria" w:cs="Cambria" w:eastAsia="Cambria" w:hAnsi="Cambria"/>
        </w:rPr>
      </w:pPr>
      <w:r w:rsidDel="00000000" w:rsidR="00000000" w:rsidRPr="00000000">
        <w:rPr>
          <w:rtl w:val="0"/>
        </w:rPr>
        <w:t xml:space="preserve">Svoje dosiahnuté časy a plán komplexného výkonnostného potenciálu –topformu, po konzultácií s trénerom, upravia a  prenesú do „cestovnej mapy", ktorá nadväzuje na limity  juniorskej reprezentácie  do roku 2024. Plánovanie cieľov  diferencujeme tak aby výkonnostne akcelerovaným, s úrovňou </w:t>
      </w:r>
      <w:r w:rsidDel="00000000" w:rsidR="00000000" w:rsidRPr="00000000">
        <w:rPr>
          <w:rFonts w:ascii="Cambria" w:cs="Cambria" w:eastAsia="Cambria" w:hAnsi="Cambria"/>
          <w:rtl w:val="0"/>
        </w:rPr>
        <w:t xml:space="preserve">13-17 bodov , nadväzovali na limity EYOF, EYOW a MEJ. Ostatní majú ciele postavené primerane k úrovne telesného a pohybového rozvoja a plaveckej výkonnosti (pozri ta.č.3).</w:t>
      </w:r>
    </w:p>
    <w:p w:rsidR="00000000" w:rsidDel="00000000" w:rsidP="00000000" w:rsidRDefault="00000000" w:rsidRPr="00000000" w14:paraId="0000003C">
      <w:pPr>
        <w:rPr>
          <w:rFonts w:ascii="Cambria" w:cs="Cambria" w:eastAsia="Cambria" w:hAnsi="Cambria"/>
        </w:rPr>
      </w:pPr>
      <w:r w:rsidDel="00000000" w:rsidR="00000000" w:rsidRPr="00000000">
        <w:rPr>
          <w:rtl w:val="0"/>
        </w:rPr>
        <w:t xml:space="preserve">Tab. č 3 "Cestovná mapa" 13 ročného plavca M.V.  s nadväznosťou  jeho cieľov na limity  juniorskej reprezentácie  do roku 2024 (úroveň </w:t>
      </w:r>
      <w:r w:rsidDel="00000000" w:rsidR="00000000" w:rsidRPr="00000000">
        <w:rPr>
          <w:rFonts w:ascii="Cambria" w:cs="Cambria" w:eastAsia="Cambria" w:hAnsi="Cambria"/>
          <w:rtl w:val="0"/>
        </w:rPr>
        <w:t xml:space="preserve">13-17 Rudolphbodov nadväzuje na limity EYOF, EYOW a MEJ) </w:t>
      </w:r>
      <w:r w:rsidDel="00000000" w:rsidR="00000000" w:rsidRPr="00000000">
        <w:rPr/>
        <w:drawing>
          <wp:inline distB="0" distT="0" distL="0" distR="0">
            <wp:extent cx="5972810" cy="4049395"/>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72810" cy="404939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left" w:pos="2635"/>
        </w:tabs>
        <w:rPr/>
      </w:pPr>
      <w:r w:rsidDel="00000000" w:rsidR="00000000" w:rsidRPr="00000000">
        <w:rPr>
          <w:rFonts w:ascii="Cambria" w:cs="Cambria" w:eastAsia="Cambria" w:hAnsi="Cambria"/>
          <w:rtl w:val="0"/>
        </w:rPr>
        <w:t xml:space="preserve">Tab.č. 1 Kritériá selekcie talentu a</w:t>
      </w:r>
      <w:r w:rsidDel="00000000" w:rsidR="00000000" w:rsidRPr="00000000">
        <w:rPr>
          <w:rtl w:val="0"/>
        </w:rPr>
        <w:t xml:space="preserve"> úrovne topformy výkonnostne akcelerovaných v nadväznosti na EYOF,MEJ, v sezóne 2019 /2020. (požiadavky klubu Azeta na plnenie limitov juniorskej reprezentácie v súlade s proporcionálnym rozvojom komponentov talentu) </w:t>
      </w:r>
    </w:p>
    <w:tbl>
      <w:tblPr>
        <w:tblStyle w:val="Table2"/>
        <w:tblW w:w="106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6"/>
        <w:gridCol w:w="1253"/>
        <w:gridCol w:w="1809"/>
        <w:gridCol w:w="3479"/>
        <w:gridCol w:w="3124"/>
        <w:tblGridChange w:id="0">
          <w:tblGrid>
            <w:gridCol w:w="1016"/>
            <w:gridCol w:w="1253"/>
            <w:gridCol w:w="1809"/>
            <w:gridCol w:w="3479"/>
            <w:gridCol w:w="3124"/>
          </w:tblGrid>
        </w:tblGridChange>
      </w:tblGrid>
      <w:tr>
        <w:trPr>
          <w:trHeight w:val="796" w:hRule="atLeast"/>
        </w:trPr>
        <w:tc>
          <w:tcPr>
            <w:gridSpan w:val="3"/>
            <w:shd w:fill="ffff00" w:val="clear"/>
          </w:tcPr>
          <w:p w:rsidR="00000000" w:rsidDel="00000000" w:rsidP="00000000" w:rsidRDefault="00000000" w:rsidRPr="00000000" w14:paraId="0000003E">
            <w:pPr>
              <w:rPr>
                <w:sz w:val="24"/>
                <w:szCs w:val="24"/>
              </w:rPr>
            </w:pPr>
            <w:r w:rsidDel="00000000" w:rsidR="00000000" w:rsidRPr="00000000">
              <w:rPr>
                <w:sz w:val="24"/>
                <w:szCs w:val="24"/>
                <w:rtl w:val="0"/>
              </w:rPr>
              <w:t xml:space="preserve">  Veková štruktúra tréningových skupín  sezóna 2019/20</w:t>
            </w:r>
          </w:p>
        </w:tc>
        <w:tc>
          <w:tcPr>
            <w:gridSpan w:val="2"/>
            <w:shd w:fill="ffff00" w:val="clear"/>
          </w:tcPr>
          <w:p w:rsidR="00000000" w:rsidDel="00000000" w:rsidP="00000000" w:rsidRDefault="00000000" w:rsidRPr="00000000" w14:paraId="00000041">
            <w:pPr>
              <w:rPr>
                <w:sz w:val="24"/>
                <w:szCs w:val="24"/>
              </w:rPr>
            </w:pPr>
            <w:r w:rsidDel="00000000" w:rsidR="00000000" w:rsidRPr="00000000">
              <w:rPr>
                <w:sz w:val="24"/>
                <w:szCs w:val="24"/>
                <w:rtl w:val="0"/>
              </w:rPr>
              <w:t xml:space="preserve">Kritéria diagnostiky, hodnotenia úrovne komponentov talentu a komplexného výkonnostného potenciálu – topformy</w:t>
            </w:r>
          </w:p>
        </w:tc>
      </w:tr>
      <w:tr>
        <w:trPr>
          <w:trHeight w:val="1103" w:hRule="atLeast"/>
        </w:trPr>
        <w:tc>
          <w:tcPr>
            <w:shd w:fill="ffff00" w:val="clear"/>
          </w:tcPr>
          <w:p w:rsidR="00000000" w:rsidDel="00000000" w:rsidP="00000000" w:rsidRDefault="00000000" w:rsidRPr="00000000" w14:paraId="00000043">
            <w:pPr>
              <w:rPr>
                <w:sz w:val="24"/>
                <w:szCs w:val="24"/>
              </w:rPr>
            </w:pPr>
            <w:r w:rsidDel="00000000" w:rsidR="00000000" w:rsidRPr="00000000">
              <w:rPr>
                <w:sz w:val="24"/>
                <w:szCs w:val="24"/>
                <w:rtl w:val="0"/>
              </w:rPr>
              <w:t xml:space="preserve">Tréning skupina</w:t>
            </w:r>
          </w:p>
        </w:tc>
        <w:tc>
          <w:tcPr>
            <w:shd w:fill="ffff00" w:val="clear"/>
          </w:tcPr>
          <w:p w:rsidR="00000000" w:rsidDel="00000000" w:rsidP="00000000" w:rsidRDefault="00000000" w:rsidRPr="00000000" w14:paraId="00000044">
            <w:pPr>
              <w:rPr>
                <w:sz w:val="24"/>
                <w:szCs w:val="24"/>
              </w:rPr>
            </w:pPr>
            <w:r w:rsidDel="00000000" w:rsidR="00000000" w:rsidRPr="00000000">
              <w:rPr>
                <w:sz w:val="24"/>
                <w:szCs w:val="24"/>
                <w:rtl w:val="0"/>
              </w:rPr>
              <w:t xml:space="preserve">Vek    (rok)</w:t>
            </w:r>
          </w:p>
        </w:tc>
        <w:tc>
          <w:tcPr>
            <w:shd w:fill="ffff00" w:val="clear"/>
          </w:tcPr>
          <w:p w:rsidR="00000000" w:rsidDel="00000000" w:rsidP="00000000" w:rsidRDefault="00000000" w:rsidRPr="00000000" w14:paraId="00000045">
            <w:pPr>
              <w:rPr>
                <w:sz w:val="24"/>
                <w:szCs w:val="24"/>
              </w:rPr>
            </w:pPr>
            <w:r w:rsidDel="00000000" w:rsidR="00000000" w:rsidRPr="00000000">
              <w:rPr>
                <w:sz w:val="24"/>
                <w:szCs w:val="24"/>
                <w:rtl w:val="0"/>
              </w:rPr>
              <w:t xml:space="preserve">Ročník narodenia</w:t>
            </w:r>
          </w:p>
        </w:tc>
        <w:tc>
          <w:tcPr>
            <w:shd w:fill="ffff00" w:val="clear"/>
          </w:tcPr>
          <w:p w:rsidR="00000000" w:rsidDel="00000000" w:rsidP="00000000" w:rsidRDefault="00000000" w:rsidRPr="00000000" w14:paraId="00000046">
            <w:pPr>
              <w:rPr>
                <w:sz w:val="24"/>
                <w:szCs w:val="24"/>
              </w:rPr>
            </w:pPr>
            <w:r w:rsidDel="00000000" w:rsidR="00000000" w:rsidRPr="00000000">
              <w:rPr>
                <w:sz w:val="24"/>
                <w:szCs w:val="24"/>
                <w:rtl w:val="0"/>
              </w:rPr>
              <w:t xml:space="preserve">Komponenty talentu „pohár talentu“                                            (súčet bodov z diagnostiky, %)</w:t>
            </w:r>
          </w:p>
        </w:tc>
        <w:tc>
          <w:tcPr>
            <w:shd w:fill="ffff00" w:val="clear"/>
          </w:tcPr>
          <w:p w:rsidR="00000000" w:rsidDel="00000000" w:rsidP="00000000" w:rsidRDefault="00000000" w:rsidRPr="00000000" w14:paraId="00000047">
            <w:pPr>
              <w:rPr>
                <w:sz w:val="24"/>
                <w:szCs w:val="24"/>
              </w:rPr>
            </w:pPr>
            <w:r w:rsidDel="00000000" w:rsidR="00000000" w:rsidRPr="00000000">
              <w:rPr>
                <w:sz w:val="24"/>
                <w:szCs w:val="24"/>
                <w:rtl w:val="0"/>
              </w:rPr>
              <w:t xml:space="preserve">Komplexný výkon. potenciál  topforma                                  (súčet  Rudolphbody RB)</w:t>
            </w:r>
          </w:p>
        </w:tc>
      </w:tr>
      <w:tr>
        <w:trPr>
          <w:trHeight w:val="362" w:hRule="atLeast"/>
        </w:trPr>
        <w:tc>
          <w:tcPr>
            <w:vMerge w:val="restart"/>
            <w:shd w:fill="ffff00" w:val="clear"/>
          </w:tcPr>
          <w:p w:rsidR="00000000" w:rsidDel="00000000" w:rsidP="00000000" w:rsidRDefault="00000000" w:rsidRPr="00000000" w14:paraId="00000048">
            <w:pPr>
              <w:jc w:val="center"/>
              <w:rPr>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b w:val="1"/>
                <w:sz w:val="24"/>
                <w:szCs w:val="24"/>
                <w:rtl w:val="0"/>
              </w:rPr>
              <w:t xml:space="preserve">T3</w:t>
            </w:r>
          </w:p>
        </w:tc>
        <w:tc>
          <w:tcPr>
            <w:shd w:fill="ffff00" w:val="clear"/>
          </w:tcPr>
          <w:p w:rsidR="00000000" w:rsidDel="00000000" w:rsidP="00000000" w:rsidRDefault="00000000" w:rsidRPr="00000000" w14:paraId="0000004A">
            <w:pPr>
              <w:rPr>
                <w:sz w:val="24"/>
                <w:szCs w:val="24"/>
              </w:rPr>
            </w:pPr>
            <w:r w:rsidDel="00000000" w:rsidR="00000000" w:rsidRPr="00000000">
              <w:rPr>
                <w:sz w:val="24"/>
                <w:szCs w:val="24"/>
                <w:rtl w:val="0"/>
              </w:rPr>
              <w:t xml:space="preserve">D  8-9</w:t>
            </w:r>
          </w:p>
        </w:tc>
        <w:tc>
          <w:tcPr/>
          <w:p w:rsidR="00000000" w:rsidDel="00000000" w:rsidP="00000000" w:rsidRDefault="00000000" w:rsidRPr="00000000" w14:paraId="0000004B">
            <w:pPr>
              <w:rPr>
                <w:sz w:val="24"/>
                <w:szCs w:val="24"/>
              </w:rPr>
            </w:pPr>
            <w:r w:rsidDel="00000000" w:rsidR="00000000" w:rsidRPr="00000000">
              <w:rPr>
                <w:sz w:val="24"/>
                <w:szCs w:val="24"/>
                <w:rtl w:val="0"/>
              </w:rPr>
              <w:t xml:space="preserve">2010-11</w:t>
            </w:r>
          </w:p>
        </w:tc>
        <w:tc>
          <w:tcPr>
            <w:vMerge w:val="restart"/>
          </w:tcPr>
          <w:p w:rsidR="00000000" w:rsidDel="00000000" w:rsidP="00000000" w:rsidRDefault="00000000" w:rsidRPr="00000000" w14:paraId="0000004C">
            <w:pPr>
              <w:rPr>
                <w:sz w:val="24"/>
                <w:szCs w:val="24"/>
              </w:rPr>
            </w:pPr>
            <w:r w:rsidDel="00000000" w:rsidR="00000000" w:rsidRPr="00000000">
              <w:rPr>
                <w:sz w:val="24"/>
                <w:szCs w:val="24"/>
                <w:rtl w:val="0"/>
              </w:rPr>
              <w:t xml:space="preserve">Dosiahnuť minimálne 60%  úroveň tejto vekovej kategórie</w:t>
            </w:r>
          </w:p>
        </w:tc>
        <w:tc>
          <w:tcPr/>
          <w:p w:rsidR="00000000" w:rsidDel="00000000" w:rsidP="00000000" w:rsidRDefault="00000000" w:rsidRPr="00000000" w14:paraId="0000004D">
            <w:pPr>
              <w:rPr>
                <w:sz w:val="24"/>
                <w:szCs w:val="24"/>
              </w:rPr>
            </w:pPr>
            <w:r w:rsidDel="00000000" w:rsidR="00000000" w:rsidRPr="00000000">
              <w:rPr>
                <w:sz w:val="24"/>
                <w:szCs w:val="24"/>
                <w:rtl w:val="0"/>
              </w:rPr>
              <w:t xml:space="preserve">2010...200K/200Z/100P/50M</w:t>
            </w:r>
          </w:p>
        </w:tc>
      </w:tr>
      <w:tr>
        <w:tc>
          <w:tcPr>
            <w:vMerge w:val="continue"/>
            <w:shd w:fill="ffff00" w:val="cle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4F">
            <w:pPr>
              <w:rPr>
                <w:sz w:val="24"/>
                <w:szCs w:val="24"/>
              </w:rPr>
            </w:pPr>
            <w:r w:rsidDel="00000000" w:rsidR="00000000" w:rsidRPr="00000000">
              <w:rPr>
                <w:sz w:val="24"/>
                <w:szCs w:val="24"/>
                <w:rtl w:val="0"/>
              </w:rPr>
              <w:t xml:space="preserve">CH 8-10</w:t>
            </w:r>
          </w:p>
        </w:tc>
        <w:tc>
          <w:tcPr/>
          <w:p w:rsidR="00000000" w:rsidDel="00000000" w:rsidP="00000000" w:rsidRDefault="00000000" w:rsidRPr="00000000" w14:paraId="00000050">
            <w:pPr>
              <w:rPr>
                <w:sz w:val="24"/>
                <w:szCs w:val="24"/>
              </w:rPr>
            </w:pPr>
            <w:r w:rsidDel="00000000" w:rsidR="00000000" w:rsidRPr="00000000">
              <w:rPr>
                <w:sz w:val="24"/>
                <w:szCs w:val="24"/>
                <w:rtl w:val="0"/>
              </w:rPr>
              <w:t xml:space="preserve">2009-11</w:t>
            </w:r>
          </w:p>
        </w:tc>
        <w:tc>
          <w:tcPr>
            <w:vMerge w:val="continue"/>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52">
            <w:pPr>
              <w:rPr>
                <w:sz w:val="24"/>
                <w:szCs w:val="24"/>
              </w:rPr>
            </w:pPr>
            <w:r w:rsidDel="00000000" w:rsidR="00000000" w:rsidRPr="00000000">
              <w:rPr>
                <w:sz w:val="24"/>
                <w:szCs w:val="24"/>
                <w:rtl w:val="0"/>
              </w:rPr>
              <w:t xml:space="preserve">2009---400K/200PP</w:t>
            </w:r>
          </w:p>
        </w:tc>
      </w:tr>
      <w:tr>
        <w:tc>
          <w:tcPr>
            <w:vMerge w:val="restart"/>
            <w:shd w:fill="ffff00" w:val="clear"/>
          </w:tcPr>
          <w:p w:rsidR="00000000" w:rsidDel="00000000" w:rsidP="00000000" w:rsidRDefault="00000000" w:rsidRPr="00000000" w14:paraId="00000053">
            <w:pPr>
              <w:jc w:val="center"/>
              <w:rPr>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T2</w:t>
            </w:r>
          </w:p>
        </w:tc>
        <w:tc>
          <w:tcPr>
            <w:shd w:fill="ffff00" w:val="clear"/>
          </w:tcPr>
          <w:p w:rsidR="00000000" w:rsidDel="00000000" w:rsidP="00000000" w:rsidRDefault="00000000" w:rsidRPr="00000000" w14:paraId="00000055">
            <w:pPr>
              <w:rPr>
                <w:sz w:val="24"/>
                <w:szCs w:val="24"/>
              </w:rPr>
            </w:pPr>
            <w:r w:rsidDel="00000000" w:rsidR="00000000" w:rsidRPr="00000000">
              <w:rPr>
                <w:sz w:val="24"/>
                <w:szCs w:val="24"/>
                <w:rtl w:val="0"/>
              </w:rPr>
              <w:t xml:space="preserve">D 10-11</w:t>
            </w:r>
          </w:p>
        </w:tc>
        <w:tc>
          <w:tcPr/>
          <w:p w:rsidR="00000000" w:rsidDel="00000000" w:rsidP="00000000" w:rsidRDefault="00000000" w:rsidRPr="00000000" w14:paraId="00000056">
            <w:pPr>
              <w:rPr>
                <w:sz w:val="24"/>
                <w:szCs w:val="24"/>
              </w:rPr>
            </w:pPr>
            <w:r w:rsidDel="00000000" w:rsidR="00000000" w:rsidRPr="00000000">
              <w:rPr>
                <w:sz w:val="24"/>
                <w:szCs w:val="24"/>
                <w:rtl w:val="0"/>
              </w:rPr>
              <w:t xml:space="preserve">2008-09</w:t>
            </w:r>
          </w:p>
        </w:tc>
        <w:tc>
          <w:tcPr>
            <w:vMerge w:val="restart"/>
          </w:tcPr>
          <w:p w:rsidR="00000000" w:rsidDel="00000000" w:rsidP="00000000" w:rsidRDefault="00000000" w:rsidRPr="00000000" w14:paraId="00000057">
            <w:pPr>
              <w:rPr>
                <w:sz w:val="24"/>
                <w:szCs w:val="24"/>
              </w:rPr>
            </w:pPr>
            <w:r w:rsidDel="00000000" w:rsidR="00000000" w:rsidRPr="00000000">
              <w:rPr>
                <w:sz w:val="24"/>
                <w:szCs w:val="24"/>
                <w:rtl w:val="0"/>
              </w:rPr>
              <w:t xml:space="preserve">Dosiahnuť minimálne 60%  + dotazník hodnotenia seba a trén</w:t>
            </w:r>
          </w:p>
        </w:tc>
        <w:tc>
          <w:tcPr>
            <w:vMerge w:val="restart"/>
          </w:tcPr>
          <w:p w:rsidR="00000000" w:rsidDel="00000000" w:rsidP="00000000" w:rsidRDefault="00000000" w:rsidRPr="00000000" w14:paraId="00000058">
            <w:pPr>
              <w:rPr>
                <w:sz w:val="24"/>
                <w:szCs w:val="24"/>
              </w:rPr>
            </w:pPr>
            <w:r w:rsidDel="00000000" w:rsidR="00000000" w:rsidRPr="00000000">
              <w:rPr>
                <w:sz w:val="24"/>
                <w:szCs w:val="24"/>
                <w:rtl w:val="0"/>
              </w:rPr>
              <w:t xml:space="preserve">Súčet 2 olymp. disciplín 13RB (nie 50K) a 20b: 800K+400PP</w:t>
            </w:r>
          </w:p>
        </w:tc>
      </w:tr>
      <w:tr>
        <w:tc>
          <w:tcPr>
            <w:vMerge w:val="continue"/>
            <w:shd w:fill="ffff00"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5A">
            <w:pPr>
              <w:rPr>
                <w:sz w:val="24"/>
                <w:szCs w:val="24"/>
              </w:rPr>
            </w:pPr>
            <w:r w:rsidDel="00000000" w:rsidR="00000000" w:rsidRPr="00000000">
              <w:rPr>
                <w:sz w:val="24"/>
                <w:szCs w:val="24"/>
                <w:rtl w:val="0"/>
              </w:rPr>
              <w:t xml:space="preserve">CH 11-12</w:t>
            </w:r>
          </w:p>
        </w:tc>
        <w:tc>
          <w:tcPr/>
          <w:p w:rsidR="00000000" w:rsidDel="00000000" w:rsidP="00000000" w:rsidRDefault="00000000" w:rsidRPr="00000000" w14:paraId="0000005B">
            <w:pPr>
              <w:rPr>
                <w:sz w:val="24"/>
                <w:szCs w:val="24"/>
              </w:rPr>
            </w:pPr>
            <w:r w:rsidDel="00000000" w:rsidR="00000000" w:rsidRPr="00000000">
              <w:rPr>
                <w:sz w:val="24"/>
                <w:szCs w:val="24"/>
                <w:rtl w:val="0"/>
              </w:rPr>
              <w:t xml:space="preserve">2007-08</w:t>
            </w:r>
          </w:p>
        </w:tc>
        <w:tc>
          <w:tcPr>
            <w:vMerge w:val="continue"/>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c>
          <w:tcPr>
            <w:vMerge w:val="restart"/>
            <w:shd w:fill="ffff00" w:val="clear"/>
          </w:tcPr>
          <w:p w:rsidR="00000000" w:rsidDel="00000000" w:rsidP="00000000" w:rsidRDefault="00000000" w:rsidRPr="00000000" w14:paraId="0000005E">
            <w:pPr>
              <w:jc w:val="center"/>
              <w:rPr>
                <w:b w:val="1"/>
                <w:sz w:val="24"/>
                <w:szCs w:val="24"/>
              </w:rPr>
            </w:pPr>
            <w:r w:rsidDel="00000000" w:rsidR="00000000" w:rsidRPr="00000000">
              <w:rPr>
                <w:rtl w:val="0"/>
              </w:rPr>
            </w:r>
          </w:p>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T1</w:t>
            </w:r>
          </w:p>
        </w:tc>
        <w:tc>
          <w:tcPr>
            <w:shd w:fill="ffff00" w:val="clear"/>
          </w:tcPr>
          <w:p w:rsidR="00000000" w:rsidDel="00000000" w:rsidP="00000000" w:rsidRDefault="00000000" w:rsidRPr="00000000" w14:paraId="00000060">
            <w:pPr>
              <w:rPr>
                <w:sz w:val="24"/>
                <w:szCs w:val="24"/>
              </w:rPr>
            </w:pPr>
            <w:r w:rsidDel="00000000" w:rsidR="00000000" w:rsidRPr="00000000">
              <w:rPr>
                <w:sz w:val="24"/>
                <w:szCs w:val="24"/>
                <w:rtl w:val="0"/>
              </w:rPr>
              <w:t xml:space="preserve">D 12-13</w:t>
            </w:r>
          </w:p>
        </w:tc>
        <w:tc>
          <w:tcPr/>
          <w:p w:rsidR="00000000" w:rsidDel="00000000" w:rsidP="00000000" w:rsidRDefault="00000000" w:rsidRPr="00000000" w14:paraId="00000061">
            <w:pPr>
              <w:rPr>
                <w:sz w:val="24"/>
                <w:szCs w:val="24"/>
              </w:rPr>
            </w:pPr>
            <w:r w:rsidDel="00000000" w:rsidR="00000000" w:rsidRPr="00000000">
              <w:rPr>
                <w:sz w:val="24"/>
                <w:szCs w:val="24"/>
                <w:rtl w:val="0"/>
              </w:rPr>
              <w:t xml:space="preserve">2006-07</w:t>
            </w:r>
          </w:p>
        </w:tc>
        <w:tc>
          <w:tcPr>
            <w:vMerge w:val="restart"/>
          </w:tcPr>
          <w:p w:rsidR="00000000" w:rsidDel="00000000" w:rsidP="00000000" w:rsidRDefault="00000000" w:rsidRPr="00000000" w14:paraId="00000062">
            <w:pPr>
              <w:rPr>
                <w:sz w:val="24"/>
                <w:szCs w:val="24"/>
              </w:rPr>
            </w:pPr>
            <w:r w:rsidDel="00000000" w:rsidR="00000000" w:rsidRPr="00000000">
              <w:rPr>
                <w:sz w:val="24"/>
                <w:szCs w:val="24"/>
                <w:rtl w:val="0"/>
              </w:rPr>
              <w:t xml:space="preserve">Dosiahnuť minimálne 60% +  dotazník hodnotenia seba a trén</w:t>
            </w:r>
          </w:p>
        </w:tc>
        <w:tc>
          <w:tcPr>
            <w:vMerge w:val="restart"/>
          </w:tcPr>
          <w:p w:rsidR="00000000" w:rsidDel="00000000" w:rsidP="00000000" w:rsidRDefault="00000000" w:rsidRPr="00000000" w14:paraId="00000063">
            <w:pPr>
              <w:rPr>
                <w:sz w:val="24"/>
                <w:szCs w:val="24"/>
              </w:rPr>
            </w:pPr>
            <w:r w:rsidDel="00000000" w:rsidR="00000000" w:rsidRPr="00000000">
              <w:rPr>
                <w:sz w:val="24"/>
                <w:szCs w:val="24"/>
                <w:rtl w:val="0"/>
              </w:rPr>
              <w:t xml:space="preserve">Súčet 2 olymp. disciplín 13RB (nie 50K) a 20b: 800K+400PP</w:t>
            </w:r>
          </w:p>
        </w:tc>
      </w:tr>
      <w:tr>
        <w:tc>
          <w:tcPr>
            <w:vMerge w:val="continue"/>
            <w:shd w:fill="ffff00" w:val="cle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65">
            <w:pPr>
              <w:rPr>
                <w:sz w:val="24"/>
                <w:szCs w:val="24"/>
              </w:rPr>
            </w:pPr>
            <w:r w:rsidDel="00000000" w:rsidR="00000000" w:rsidRPr="00000000">
              <w:rPr>
                <w:sz w:val="24"/>
                <w:szCs w:val="24"/>
                <w:rtl w:val="0"/>
              </w:rPr>
              <w:t xml:space="preserve">CH 13-14</w:t>
            </w:r>
          </w:p>
        </w:tc>
        <w:tc>
          <w:tcPr/>
          <w:p w:rsidR="00000000" w:rsidDel="00000000" w:rsidP="00000000" w:rsidRDefault="00000000" w:rsidRPr="00000000" w14:paraId="00000066">
            <w:pPr>
              <w:rPr>
                <w:sz w:val="24"/>
                <w:szCs w:val="24"/>
              </w:rPr>
            </w:pPr>
            <w:r w:rsidDel="00000000" w:rsidR="00000000" w:rsidRPr="00000000">
              <w:rPr>
                <w:sz w:val="24"/>
                <w:szCs w:val="24"/>
                <w:rtl w:val="0"/>
              </w:rPr>
              <w:t xml:space="preserve">2005-06</w:t>
            </w:r>
          </w:p>
        </w:tc>
        <w:tc>
          <w:tcPr>
            <w:vMerge w:val="continue"/>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c>
          <w:tcPr>
            <w:vMerge w:val="restart"/>
            <w:shd w:fill="ffff00" w:val="clear"/>
          </w:tcPr>
          <w:p w:rsidR="00000000" w:rsidDel="00000000" w:rsidP="00000000" w:rsidRDefault="00000000" w:rsidRPr="00000000" w14:paraId="00000069">
            <w:pPr>
              <w:jc w:val="center"/>
              <w:rPr>
                <w:b w:val="1"/>
                <w:sz w:val="24"/>
                <w:szCs w:val="24"/>
              </w:rPr>
            </w:pPr>
            <w:r w:rsidDel="00000000" w:rsidR="00000000" w:rsidRPr="00000000">
              <w:rPr>
                <w:rtl w:val="0"/>
              </w:rPr>
            </w:r>
          </w:p>
          <w:p w:rsidR="00000000" w:rsidDel="00000000" w:rsidP="00000000" w:rsidRDefault="00000000" w:rsidRPr="00000000" w14:paraId="0000006A">
            <w:pPr>
              <w:rPr>
                <w:b w:val="1"/>
                <w:sz w:val="24"/>
                <w:szCs w:val="24"/>
              </w:rPr>
            </w:pPr>
            <w:r w:rsidDel="00000000" w:rsidR="00000000" w:rsidRPr="00000000">
              <w:rPr>
                <w:b w:val="1"/>
                <w:sz w:val="24"/>
                <w:szCs w:val="24"/>
                <w:rtl w:val="0"/>
              </w:rPr>
              <w:t xml:space="preserve">T1</w:t>
            </w:r>
          </w:p>
        </w:tc>
        <w:tc>
          <w:tcPr>
            <w:shd w:fill="ffff00" w:val="clear"/>
          </w:tcPr>
          <w:p w:rsidR="00000000" w:rsidDel="00000000" w:rsidP="00000000" w:rsidRDefault="00000000" w:rsidRPr="00000000" w14:paraId="0000006B">
            <w:pPr>
              <w:rPr>
                <w:sz w:val="24"/>
                <w:szCs w:val="24"/>
              </w:rPr>
            </w:pPr>
            <w:r w:rsidDel="00000000" w:rsidR="00000000" w:rsidRPr="00000000">
              <w:rPr>
                <w:sz w:val="24"/>
                <w:szCs w:val="24"/>
                <w:rtl w:val="0"/>
              </w:rPr>
              <w:t xml:space="preserve">D 14-15</w:t>
            </w:r>
          </w:p>
        </w:tc>
        <w:tc>
          <w:tcPr/>
          <w:p w:rsidR="00000000" w:rsidDel="00000000" w:rsidP="00000000" w:rsidRDefault="00000000" w:rsidRPr="00000000" w14:paraId="0000006C">
            <w:pPr>
              <w:rPr>
                <w:sz w:val="24"/>
                <w:szCs w:val="24"/>
              </w:rPr>
            </w:pPr>
            <w:r w:rsidDel="00000000" w:rsidR="00000000" w:rsidRPr="00000000">
              <w:rPr>
                <w:sz w:val="24"/>
                <w:szCs w:val="24"/>
                <w:rtl w:val="0"/>
              </w:rPr>
              <w:t xml:space="preserve">2004-05</w:t>
            </w:r>
          </w:p>
        </w:tc>
        <w:tc>
          <w:tcPr>
            <w:vMerge w:val="restart"/>
          </w:tcPr>
          <w:p w:rsidR="00000000" w:rsidDel="00000000" w:rsidP="00000000" w:rsidRDefault="00000000" w:rsidRPr="00000000" w14:paraId="0000006D">
            <w:pPr>
              <w:rPr>
                <w:sz w:val="24"/>
                <w:szCs w:val="24"/>
              </w:rPr>
            </w:pPr>
            <w:r w:rsidDel="00000000" w:rsidR="00000000" w:rsidRPr="00000000">
              <w:rPr>
                <w:sz w:val="24"/>
                <w:szCs w:val="24"/>
                <w:rtl w:val="0"/>
              </w:rPr>
              <w:t xml:space="preserve">Dosiahnuť minimálne 60% + dotazník hodnotenia seba a trén</w:t>
            </w:r>
          </w:p>
        </w:tc>
        <w:tc>
          <w:tcPr>
            <w:vMerge w:val="restart"/>
          </w:tcPr>
          <w:p w:rsidR="00000000" w:rsidDel="00000000" w:rsidP="00000000" w:rsidRDefault="00000000" w:rsidRPr="00000000" w14:paraId="0000006E">
            <w:pPr>
              <w:rPr>
                <w:sz w:val="24"/>
                <w:szCs w:val="24"/>
              </w:rPr>
            </w:pPr>
            <w:r w:rsidDel="00000000" w:rsidR="00000000" w:rsidRPr="00000000">
              <w:rPr>
                <w:sz w:val="24"/>
                <w:szCs w:val="24"/>
                <w:rtl w:val="0"/>
              </w:rPr>
              <w:t xml:space="preserve">Súčet 2 olymp. disciplín 14RB (nie 50K) a 20b.800K+400PP</w:t>
            </w:r>
          </w:p>
        </w:tc>
      </w:tr>
      <w:tr>
        <w:tc>
          <w:tcPr>
            <w:vMerge w:val="continue"/>
            <w:shd w:fill="ffff00" w:val="cle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70">
            <w:pPr>
              <w:rPr>
                <w:sz w:val="24"/>
                <w:szCs w:val="24"/>
              </w:rPr>
            </w:pPr>
            <w:r w:rsidDel="00000000" w:rsidR="00000000" w:rsidRPr="00000000">
              <w:rPr>
                <w:sz w:val="24"/>
                <w:szCs w:val="24"/>
                <w:rtl w:val="0"/>
              </w:rPr>
              <w:t xml:space="preserve">CH 15-16</w:t>
            </w:r>
          </w:p>
        </w:tc>
        <w:tc>
          <w:tcPr/>
          <w:p w:rsidR="00000000" w:rsidDel="00000000" w:rsidP="00000000" w:rsidRDefault="00000000" w:rsidRPr="00000000" w14:paraId="00000071">
            <w:pPr>
              <w:rPr>
                <w:sz w:val="24"/>
                <w:szCs w:val="24"/>
              </w:rPr>
            </w:pPr>
            <w:r w:rsidDel="00000000" w:rsidR="00000000" w:rsidRPr="00000000">
              <w:rPr>
                <w:sz w:val="24"/>
                <w:szCs w:val="24"/>
                <w:rtl w:val="0"/>
              </w:rPr>
              <w:t xml:space="preserve">2003-04</w:t>
            </w:r>
          </w:p>
        </w:tc>
        <w:tc>
          <w:tcPr>
            <w:vMerge w:val="continue"/>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c>
          <w:tcPr>
            <w:vMerge w:val="restart"/>
            <w:shd w:fill="ffff00" w:val="clear"/>
          </w:tcPr>
          <w:p w:rsidR="00000000" w:rsidDel="00000000" w:rsidP="00000000" w:rsidRDefault="00000000" w:rsidRPr="00000000" w14:paraId="00000074">
            <w:pPr>
              <w:rPr>
                <w:b w:val="1"/>
              </w:rPr>
            </w:pPr>
            <w:r w:rsidDel="00000000" w:rsidR="00000000" w:rsidRPr="00000000">
              <w:rPr>
                <w:b w:val="1"/>
                <w:rtl w:val="0"/>
              </w:rPr>
              <w:t xml:space="preserve">PERSPEKTÍVNI</w:t>
            </w:r>
          </w:p>
        </w:tc>
        <w:tc>
          <w:tcPr>
            <w:shd w:fill="ffff00" w:val="clear"/>
          </w:tcPr>
          <w:p w:rsidR="00000000" w:rsidDel="00000000" w:rsidP="00000000" w:rsidRDefault="00000000" w:rsidRPr="00000000" w14:paraId="00000075">
            <w:pPr>
              <w:rPr>
                <w:sz w:val="24"/>
                <w:szCs w:val="24"/>
              </w:rPr>
            </w:pPr>
            <w:r w:rsidDel="00000000" w:rsidR="00000000" w:rsidRPr="00000000">
              <w:rPr>
                <w:sz w:val="24"/>
                <w:szCs w:val="24"/>
                <w:rtl w:val="0"/>
              </w:rPr>
              <w:t xml:space="preserve">D 14-17</w:t>
            </w:r>
          </w:p>
        </w:tc>
        <w:tc>
          <w:tcPr/>
          <w:p w:rsidR="00000000" w:rsidDel="00000000" w:rsidP="00000000" w:rsidRDefault="00000000" w:rsidRPr="00000000" w14:paraId="00000076">
            <w:pPr>
              <w:rPr>
                <w:sz w:val="24"/>
                <w:szCs w:val="24"/>
              </w:rPr>
            </w:pPr>
            <w:r w:rsidDel="00000000" w:rsidR="00000000" w:rsidRPr="00000000">
              <w:rPr>
                <w:sz w:val="24"/>
                <w:szCs w:val="24"/>
                <w:rtl w:val="0"/>
              </w:rPr>
              <w:t xml:space="preserve">2002-05</w:t>
            </w:r>
          </w:p>
        </w:tc>
        <w:tc>
          <w:tcPr>
            <w:vMerge w:val="restart"/>
          </w:tcPr>
          <w:p w:rsidR="00000000" w:rsidDel="00000000" w:rsidP="00000000" w:rsidRDefault="00000000" w:rsidRPr="00000000" w14:paraId="00000077">
            <w:pPr>
              <w:rPr>
                <w:sz w:val="24"/>
                <w:szCs w:val="24"/>
              </w:rPr>
            </w:pPr>
            <w:r w:rsidDel="00000000" w:rsidR="00000000" w:rsidRPr="00000000">
              <w:rPr>
                <w:sz w:val="24"/>
                <w:szCs w:val="24"/>
                <w:rtl w:val="0"/>
              </w:rPr>
              <w:t xml:space="preserve">Bez testovania</w:t>
            </w:r>
          </w:p>
        </w:tc>
        <w:tc>
          <w:tcPr>
            <w:vMerge w:val="restart"/>
          </w:tcPr>
          <w:p w:rsidR="00000000" w:rsidDel="00000000" w:rsidP="00000000" w:rsidRDefault="00000000" w:rsidRPr="00000000" w14:paraId="00000078">
            <w:pPr>
              <w:rPr>
                <w:sz w:val="24"/>
                <w:szCs w:val="24"/>
              </w:rPr>
            </w:pPr>
            <w:r w:rsidDel="00000000" w:rsidR="00000000" w:rsidRPr="00000000">
              <w:rPr>
                <w:sz w:val="24"/>
                <w:szCs w:val="24"/>
                <w:rtl w:val="0"/>
              </w:rPr>
              <w:t xml:space="preserve">Súčet 2 olymp. disciplín 15RB (nie 50K) bez dlhých tratí</w:t>
            </w:r>
          </w:p>
        </w:tc>
      </w:tr>
      <w:tr>
        <w:trPr>
          <w:trHeight w:val="336" w:hRule="atLeast"/>
        </w:trPr>
        <w:tc>
          <w:tcPr>
            <w:vMerge w:val="continue"/>
            <w:shd w:fill="ffff00" w:val="cle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7A">
            <w:pPr>
              <w:rPr>
                <w:sz w:val="24"/>
                <w:szCs w:val="24"/>
              </w:rPr>
            </w:pPr>
            <w:r w:rsidDel="00000000" w:rsidR="00000000" w:rsidRPr="00000000">
              <w:rPr>
                <w:sz w:val="24"/>
                <w:szCs w:val="24"/>
                <w:rtl w:val="0"/>
              </w:rPr>
              <w:t xml:space="preserve">CH 15-18</w:t>
            </w:r>
          </w:p>
        </w:tc>
        <w:tc>
          <w:tcPr/>
          <w:p w:rsidR="00000000" w:rsidDel="00000000" w:rsidP="00000000" w:rsidRDefault="00000000" w:rsidRPr="00000000" w14:paraId="0000007B">
            <w:pPr>
              <w:rPr>
                <w:sz w:val="24"/>
                <w:szCs w:val="24"/>
              </w:rPr>
            </w:pPr>
            <w:r w:rsidDel="00000000" w:rsidR="00000000" w:rsidRPr="00000000">
              <w:rPr>
                <w:sz w:val="24"/>
                <w:szCs w:val="24"/>
                <w:rtl w:val="0"/>
              </w:rPr>
              <w:t xml:space="preserve">2001-02</w:t>
            </w:r>
          </w:p>
        </w:tc>
        <w:tc>
          <w:tcPr>
            <w:vMerge w:val="continue"/>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c>
          <w:tcPr>
            <w:vMerge w:val="restart"/>
            <w:shd w:fill="ffff00" w:val="clear"/>
          </w:tcPr>
          <w:p w:rsidR="00000000" w:rsidDel="00000000" w:rsidP="00000000" w:rsidRDefault="00000000" w:rsidRPr="00000000" w14:paraId="0000007E">
            <w:pPr>
              <w:jc w:val="center"/>
              <w:rPr>
                <w:b w:val="1"/>
              </w:rPr>
            </w:pPr>
            <w:r w:rsidDel="00000000" w:rsidR="00000000" w:rsidRPr="00000000">
              <w:rPr>
                <w:b w:val="1"/>
                <w:rtl w:val="0"/>
              </w:rPr>
              <w:t xml:space="preserve">TOP      JUNIORI</w:t>
            </w:r>
          </w:p>
        </w:tc>
        <w:tc>
          <w:tcPr>
            <w:shd w:fill="ffff00" w:val="clear"/>
          </w:tcPr>
          <w:p w:rsidR="00000000" w:rsidDel="00000000" w:rsidP="00000000" w:rsidRDefault="00000000" w:rsidRPr="00000000" w14:paraId="0000007F">
            <w:pPr>
              <w:rPr>
                <w:sz w:val="24"/>
                <w:szCs w:val="24"/>
              </w:rPr>
            </w:pPr>
            <w:r w:rsidDel="00000000" w:rsidR="00000000" w:rsidRPr="00000000">
              <w:rPr>
                <w:sz w:val="24"/>
                <w:szCs w:val="24"/>
                <w:rtl w:val="0"/>
              </w:rPr>
              <w:t xml:space="preserve">D 14-17</w:t>
            </w:r>
          </w:p>
        </w:tc>
        <w:tc>
          <w:tcPr/>
          <w:p w:rsidR="00000000" w:rsidDel="00000000" w:rsidP="00000000" w:rsidRDefault="00000000" w:rsidRPr="00000000" w14:paraId="00000080">
            <w:pPr>
              <w:rPr>
                <w:sz w:val="24"/>
                <w:szCs w:val="24"/>
              </w:rPr>
            </w:pPr>
            <w:r w:rsidDel="00000000" w:rsidR="00000000" w:rsidRPr="00000000">
              <w:rPr>
                <w:sz w:val="24"/>
                <w:szCs w:val="24"/>
                <w:rtl w:val="0"/>
              </w:rPr>
              <w:t xml:space="preserve">2001-starší</w:t>
            </w:r>
          </w:p>
        </w:tc>
        <w:tc>
          <w:tcPr>
            <w:vMerge w:val="restart"/>
          </w:tcPr>
          <w:p w:rsidR="00000000" w:rsidDel="00000000" w:rsidP="00000000" w:rsidRDefault="00000000" w:rsidRPr="00000000" w14:paraId="00000081">
            <w:pPr>
              <w:rPr>
                <w:sz w:val="24"/>
                <w:szCs w:val="24"/>
              </w:rPr>
            </w:pPr>
            <w:r w:rsidDel="00000000" w:rsidR="00000000" w:rsidRPr="00000000">
              <w:rPr>
                <w:sz w:val="24"/>
                <w:szCs w:val="24"/>
                <w:rtl w:val="0"/>
              </w:rPr>
              <w:t xml:space="preserve">Bez testovania</w:t>
            </w:r>
          </w:p>
        </w:tc>
        <w:tc>
          <w:tcPr>
            <w:vMerge w:val="restart"/>
          </w:tcPr>
          <w:p w:rsidR="00000000" w:rsidDel="00000000" w:rsidP="00000000" w:rsidRDefault="00000000" w:rsidRPr="00000000" w14:paraId="00000082">
            <w:pPr>
              <w:rPr>
                <w:sz w:val="24"/>
                <w:szCs w:val="24"/>
              </w:rPr>
            </w:pPr>
            <w:r w:rsidDel="00000000" w:rsidR="00000000" w:rsidRPr="00000000">
              <w:rPr>
                <w:sz w:val="24"/>
                <w:szCs w:val="24"/>
                <w:rtl w:val="0"/>
              </w:rPr>
              <w:t xml:space="preserve">Súčet 2 olymp. disciplín 15RB a 17RB (nie 50K) bez dlhých </w:t>
            </w:r>
          </w:p>
        </w:tc>
      </w:tr>
      <w:tr>
        <w:tc>
          <w:tcPr>
            <w:vMerge w:val="continue"/>
            <w:shd w:fill="ffff00" w:val="cle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ffff00" w:val="clear"/>
          </w:tcPr>
          <w:p w:rsidR="00000000" w:rsidDel="00000000" w:rsidP="00000000" w:rsidRDefault="00000000" w:rsidRPr="00000000" w14:paraId="00000084">
            <w:pPr>
              <w:rPr>
                <w:sz w:val="24"/>
                <w:szCs w:val="24"/>
              </w:rPr>
            </w:pPr>
            <w:r w:rsidDel="00000000" w:rsidR="00000000" w:rsidRPr="00000000">
              <w:rPr>
                <w:sz w:val="24"/>
                <w:szCs w:val="24"/>
                <w:rtl w:val="0"/>
              </w:rPr>
              <w:t xml:space="preserve">CH 15-18</w:t>
            </w:r>
          </w:p>
        </w:tc>
        <w:tc>
          <w:tcPr/>
          <w:p w:rsidR="00000000" w:rsidDel="00000000" w:rsidP="00000000" w:rsidRDefault="00000000" w:rsidRPr="00000000" w14:paraId="00000085">
            <w:pPr>
              <w:rPr>
                <w:sz w:val="24"/>
                <w:szCs w:val="24"/>
              </w:rPr>
            </w:pPr>
            <w:r w:rsidDel="00000000" w:rsidR="00000000" w:rsidRPr="00000000">
              <w:rPr>
                <w:sz w:val="24"/>
                <w:szCs w:val="24"/>
                <w:rtl w:val="0"/>
              </w:rPr>
              <w:t xml:space="preserve">2000-starší</w:t>
            </w:r>
          </w:p>
        </w:tc>
        <w:tc>
          <w:tcPr>
            <w:vMerge w:val="continue"/>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88">
      <w:pPr>
        <w:tabs>
          <w:tab w:val="left" w:pos="2635"/>
        </w:tabs>
        <w:rPr/>
      </w:pPr>
      <w:r w:rsidDel="00000000" w:rsidR="00000000" w:rsidRPr="00000000">
        <w:rPr>
          <w:rtl w:val="0"/>
        </w:rPr>
        <w:t xml:space="preserve">Časť 1: Reprezentačné tímy mladších a starších juniorov (návrh limitov SPF, nadväzujúce na medzinárodnú úroveň a júniorsku reprezentáciu) :</w:t>
      </w:r>
    </w:p>
    <w:p w:rsidR="00000000" w:rsidDel="00000000" w:rsidP="00000000" w:rsidRDefault="00000000" w:rsidRPr="00000000" w14:paraId="00000089">
      <w:pPr>
        <w:tabs>
          <w:tab w:val="left" w:pos="2635"/>
        </w:tabs>
        <w:rPr/>
      </w:pPr>
      <w:r w:rsidDel="00000000" w:rsidR="00000000" w:rsidRPr="00000000">
        <w:rPr>
          <w:rtl w:val="0"/>
        </w:rPr>
        <w:t xml:space="preserve">MODEL SPF nominácii do juniorskej reprezentacie (T. Fronek, 2020) a nominačné súťaže tímov. Medzizónové súťaženie timov má vytvárať  motivujúce a konkurenčné prostredie. Uskutoční sa 3x v sezóne v súlade s periodizáciou  stanovenou SPF s účasťou 12-16 ročných dievčat a 13-16 ročných chlapcov. Navrhované kritéria účasť sú FINA body:</w:t>
      </w:r>
    </w:p>
    <w:p w:rsidR="00000000" w:rsidDel="00000000" w:rsidP="00000000" w:rsidRDefault="00000000" w:rsidRPr="00000000" w14:paraId="0000008A">
      <w:pPr>
        <w:numPr>
          <w:ilvl w:val="0"/>
          <w:numId w:val="1"/>
        </w:numPr>
        <w:tabs>
          <w:tab w:val="left" w:pos="2635"/>
        </w:tabs>
        <w:spacing w:after="0" w:lineRule="auto"/>
        <w:ind w:left="720" w:hanging="360"/>
        <w:rPr/>
      </w:pPr>
      <w:r w:rsidDel="00000000" w:rsidR="00000000" w:rsidRPr="00000000">
        <w:rPr>
          <w:rtl w:val="0"/>
        </w:rPr>
        <w:t xml:space="preserve">12 ročné dievčatá 520      chlapci - - </w:t>
      </w:r>
      <w:r w:rsidDel="00000000" w:rsidR="00000000" w:rsidRPr="00000000">
        <w:rPr>
          <w:rtl w:val="0"/>
        </w:rPr>
      </w:r>
    </w:p>
    <w:p w:rsidR="00000000" w:rsidDel="00000000" w:rsidP="00000000" w:rsidRDefault="00000000" w:rsidRPr="00000000" w14:paraId="0000008B">
      <w:pPr>
        <w:numPr>
          <w:ilvl w:val="0"/>
          <w:numId w:val="1"/>
        </w:numPr>
        <w:tabs>
          <w:tab w:val="left" w:pos="2635"/>
        </w:tabs>
        <w:spacing w:after="0" w:lineRule="auto"/>
        <w:ind w:left="720" w:hanging="360"/>
        <w:rPr/>
      </w:pPr>
      <w:r w:rsidDel="00000000" w:rsidR="00000000" w:rsidRPr="00000000">
        <w:rPr>
          <w:rtl w:val="0"/>
        </w:rPr>
        <w:t xml:space="preserve">13 ročné.                550.               520</w:t>
      </w:r>
      <w:r w:rsidDel="00000000" w:rsidR="00000000" w:rsidRPr="00000000">
        <w:rPr>
          <w:rtl w:val="0"/>
        </w:rPr>
      </w:r>
    </w:p>
    <w:p w:rsidR="00000000" w:rsidDel="00000000" w:rsidP="00000000" w:rsidRDefault="00000000" w:rsidRPr="00000000" w14:paraId="0000008C">
      <w:pPr>
        <w:numPr>
          <w:ilvl w:val="0"/>
          <w:numId w:val="1"/>
        </w:numPr>
        <w:tabs>
          <w:tab w:val="left" w:pos="2635"/>
        </w:tabs>
        <w:spacing w:after="0" w:lineRule="auto"/>
        <w:ind w:left="720" w:hanging="360"/>
        <w:rPr/>
      </w:pPr>
      <w:r w:rsidDel="00000000" w:rsidR="00000000" w:rsidRPr="00000000">
        <w:rPr>
          <w:rtl w:val="0"/>
        </w:rPr>
        <w:t xml:space="preserve">14 ročné.                580.               550</w:t>
      </w:r>
      <w:r w:rsidDel="00000000" w:rsidR="00000000" w:rsidRPr="00000000">
        <w:rPr>
          <w:rtl w:val="0"/>
        </w:rPr>
      </w:r>
    </w:p>
    <w:p w:rsidR="00000000" w:rsidDel="00000000" w:rsidP="00000000" w:rsidRDefault="00000000" w:rsidRPr="00000000" w14:paraId="0000008D">
      <w:pPr>
        <w:numPr>
          <w:ilvl w:val="0"/>
          <w:numId w:val="1"/>
        </w:numPr>
        <w:tabs>
          <w:tab w:val="left" w:pos="2635"/>
        </w:tabs>
        <w:spacing w:after="0" w:lineRule="auto"/>
        <w:ind w:left="720" w:hanging="360"/>
        <w:rPr/>
      </w:pPr>
      <w:r w:rsidDel="00000000" w:rsidR="00000000" w:rsidRPr="00000000">
        <w:rPr>
          <w:rtl w:val="0"/>
        </w:rPr>
        <w:t xml:space="preserve">15 ročné.                610.               570</w:t>
      </w:r>
      <w:r w:rsidDel="00000000" w:rsidR="00000000" w:rsidRPr="00000000">
        <w:rPr>
          <w:rtl w:val="0"/>
        </w:rPr>
      </w:r>
    </w:p>
    <w:p w:rsidR="00000000" w:rsidDel="00000000" w:rsidP="00000000" w:rsidRDefault="00000000" w:rsidRPr="00000000" w14:paraId="0000008E">
      <w:pPr>
        <w:numPr>
          <w:ilvl w:val="0"/>
          <w:numId w:val="1"/>
        </w:numPr>
        <w:tabs>
          <w:tab w:val="left" w:pos="2635"/>
        </w:tabs>
        <w:ind w:left="720" w:hanging="360"/>
        <w:rPr/>
      </w:pPr>
      <w:r w:rsidDel="00000000" w:rsidR="00000000" w:rsidRPr="00000000">
        <w:rPr>
          <w:rtl w:val="0"/>
        </w:rPr>
        <w:t xml:space="preserve">16 ročné.                650.               620</w:t>
      </w:r>
      <w:r w:rsidDel="00000000" w:rsidR="00000000" w:rsidRPr="00000000">
        <w:rPr>
          <w:rtl w:val="0"/>
        </w:rPr>
      </w:r>
    </w:p>
    <w:p w:rsidR="00000000" w:rsidDel="00000000" w:rsidP="00000000" w:rsidRDefault="00000000" w:rsidRPr="00000000" w14:paraId="0000008F">
      <w:pPr>
        <w:tabs>
          <w:tab w:val="left" w:pos="2635"/>
        </w:tabs>
        <w:rPr/>
      </w:pPr>
      <w:r w:rsidDel="00000000" w:rsidR="00000000" w:rsidRPr="00000000">
        <w:rPr>
          <w:rtl w:val="0"/>
        </w:rPr>
        <w:t xml:space="preserve">Porovnanie týchto FINA limitov s Rodolpfbodmi chlapcov na 100 a 200 kraul, potvrdzujú nadväznosť našich klubových KRITÉRIÍ (plav výkonov na úrovni 13-15RB) s navrhovanymi SPF pre účasť 13-16 ročných na medzizónovej súťaží družstiev. Klubová "Cestovná mapa" pre akcelerovaných je na urovni 15 Rudolpfbodov nadväzná na júniorsku reprezrnzacou a porovnateľná s navrhovanymi limitmi SPF (sú zvýraznené pomlčkami).                                     Porovnanie 15 ročných chlapcov:</w:t>
      </w:r>
    </w:p>
    <w:p w:rsidR="00000000" w:rsidDel="00000000" w:rsidP="00000000" w:rsidRDefault="00000000" w:rsidRPr="00000000" w14:paraId="00000090">
      <w:pPr>
        <w:numPr>
          <w:ilvl w:val="0"/>
          <w:numId w:val="3"/>
        </w:numPr>
        <w:tabs>
          <w:tab w:val="left" w:pos="2635"/>
        </w:tabs>
        <w:spacing w:after="0" w:lineRule="auto"/>
        <w:ind w:left="720" w:hanging="360"/>
        <w:rPr/>
      </w:pPr>
      <w:r w:rsidDel="00000000" w:rsidR="00000000" w:rsidRPr="00000000">
        <w:rPr>
          <w:rtl w:val="0"/>
        </w:rPr>
        <w:t xml:space="preserve">             15RB.    56,5.           510…… </w:t>
      </w:r>
      <w:r w:rsidDel="00000000" w:rsidR="00000000" w:rsidRPr="00000000">
        <w:rPr>
          <w:rtl w:val="0"/>
        </w:rPr>
      </w:r>
    </w:p>
    <w:p w:rsidR="00000000" w:rsidDel="00000000" w:rsidP="00000000" w:rsidRDefault="00000000" w:rsidRPr="00000000" w14:paraId="00000091">
      <w:pPr>
        <w:numPr>
          <w:ilvl w:val="0"/>
          <w:numId w:val="3"/>
        </w:numPr>
        <w:tabs>
          <w:tab w:val="left" w:pos="2635"/>
        </w:tabs>
        <w:spacing w:after="0" w:lineRule="auto"/>
        <w:ind w:left="720" w:hanging="360"/>
        <w:rPr/>
      </w:pPr>
      <w:r w:rsidDel="00000000" w:rsidR="00000000" w:rsidRPr="00000000">
        <w:rPr>
          <w:rtl w:val="0"/>
        </w:rPr>
        <w:t xml:space="preserve">                            2,03,5.       525…. .</w:t>
      </w:r>
      <w:r w:rsidDel="00000000" w:rsidR="00000000" w:rsidRPr="00000000">
        <w:rPr>
          <w:rtl w:val="0"/>
        </w:rPr>
      </w:r>
    </w:p>
    <w:p w:rsidR="00000000" w:rsidDel="00000000" w:rsidP="00000000" w:rsidRDefault="00000000" w:rsidRPr="00000000" w14:paraId="00000092">
      <w:pPr>
        <w:numPr>
          <w:ilvl w:val="0"/>
          <w:numId w:val="3"/>
        </w:numPr>
        <w:tabs>
          <w:tab w:val="left" w:pos="2635"/>
        </w:tabs>
        <w:spacing w:after="0" w:lineRule="auto"/>
        <w:ind w:left="720" w:hanging="360"/>
        <w:rPr/>
      </w:pPr>
      <w:r w:rsidDel="00000000" w:rsidR="00000000" w:rsidRPr="00000000">
        <w:rPr>
          <w:rtl w:val="0"/>
        </w:rPr>
        <w:t xml:space="preserve">             13RB.   55,9.           510</w:t>
      </w:r>
      <w:r w:rsidDel="00000000" w:rsidR="00000000" w:rsidRPr="00000000">
        <w:rPr>
          <w:rtl w:val="0"/>
        </w:rPr>
      </w:r>
    </w:p>
    <w:p w:rsidR="00000000" w:rsidDel="00000000" w:rsidP="00000000" w:rsidRDefault="00000000" w:rsidRPr="00000000" w14:paraId="00000093">
      <w:pPr>
        <w:numPr>
          <w:ilvl w:val="0"/>
          <w:numId w:val="3"/>
        </w:numPr>
        <w:tabs>
          <w:tab w:val="left" w:pos="2635"/>
        </w:tabs>
        <w:spacing w:after="0" w:lineRule="auto"/>
        <w:ind w:left="720" w:hanging="360"/>
        <w:rPr/>
      </w:pPr>
      <w:r w:rsidDel="00000000" w:rsidR="00000000" w:rsidRPr="00000000">
        <w:rPr>
          <w:rtl w:val="0"/>
        </w:rPr>
        <w:t xml:space="preserve">                            2,02,3.      540….. </w:t>
      </w:r>
      <w:r w:rsidDel="00000000" w:rsidR="00000000" w:rsidRPr="00000000">
        <w:rPr>
          <w:rtl w:val="0"/>
        </w:rPr>
      </w:r>
    </w:p>
    <w:p w:rsidR="00000000" w:rsidDel="00000000" w:rsidP="00000000" w:rsidRDefault="00000000" w:rsidRPr="00000000" w14:paraId="00000094">
      <w:pPr>
        <w:numPr>
          <w:ilvl w:val="0"/>
          <w:numId w:val="3"/>
        </w:numPr>
        <w:tabs>
          <w:tab w:val="left" w:pos="2635"/>
        </w:tabs>
        <w:spacing w:after="0" w:lineRule="auto"/>
        <w:ind w:left="720" w:hanging="360"/>
        <w:rPr/>
      </w:pPr>
      <w:r w:rsidDel="00000000" w:rsidR="00000000" w:rsidRPr="00000000">
        <w:rPr>
          <w:rtl w:val="0"/>
        </w:rPr>
        <w:t xml:space="preserve">              15RB.  54,3.           570….. </w:t>
      </w:r>
      <w:r w:rsidDel="00000000" w:rsidR="00000000" w:rsidRPr="00000000">
        <w:rPr>
          <w:rtl w:val="0"/>
        </w:rPr>
      </w:r>
    </w:p>
    <w:p w:rsidR="00000000" w:rsidDel="00000000" w:rsidP="00000000" w:rsidRDefault="00000000" w:rsidRPr="00000000" w14:paraId="00000095">
      <w:pPr>
        <w:numPr>
          <w:ilvl w:val="0"/>
          <w:numId w:val="3"/>
        </w:numPr>
        <w:tabs>
          <w:tab w:val="left" w:pos="2635"/>
        </w:tabs>
        <w:ind w:left="720" w:hanging="360"/>
        <w:rPr/>
      </w:pPr>
      <w:r w:rsidDel="00000000" w:rsidR="00000000" w:rsidRPr="00000000">
        <w:rPr>
          <w:rtl w:val="0"/>
        </w:rPr>
        <w:t xml:space="preserve">                           1,58,6.       590….. </w:t>
      </w:r>
      <w:r w:rsidDel="00000000" w:rsidR="00000000" w:rsidRPr="00000000">
        <w:rPr>
          <w:rtl w:val="0"/>
        </w:rPr>
      </w:r>
    </w:p>
    <w:p w:rsidR="00000000" w:rsidDel="00000000" w:rsidP="00000000" w:rsidRDefault="00000000" w:rsidRPr="00000000" w14:paraId="00000096">
      <w:pPr>
        <w:tabs>
          <w:tab w:val="left" w:pos="2635"/>
        </w:tabs>
        <w:rPr/>
      </w:pPr>
      <w:r w:rsidDel="00000000" w:rsidR="00000000" w:rsidRPr="00000000">
        <w:rPr>
          <w:rtl w:val="0"/>
        </w:rPr>
        <w:t xml:space="preserve">REPRE limity pre Mladšie juniorky 14 - 16 rokov (zaradenie podľa FINA bodov 2019): </w:t>
      </w:r>
    </w:p>
    <w:p w:rsidR="00000000" w:rsidDel="00000000" w:rsidP="00000000" w:rsidRDefault="00000000" w:rsidRPr="00000000" w14:paraId="00000097">
      <w:pPr>
        <w:numPr>
          <w:ilvl w:val="0"/>
          <w:numId w:val="7"/>
        </w:numPr>
        <w:tabs>
          <w:tab w:val="left" w:pos="2635"/>
        </w:tabs>
        <w:spacing w:after="0" w:lineRule="auto"/>
        <w:ind w:left="720" w:hanging="360"/>
        <w:rPr/>
      </w:pPr>
      <w:r w:rsidDel="00000000" w:rsidR="00000000" w:rsidRPr="00000000">
        <w:rPr>
          <w:rtl w:val="0"/>
        </w:rPr>
        <w:t xml:space="preserve">14 rokov - 645 bodov</w:t>
      </w:r>
      <w:r w:rsidDel="00000000" w:rsidR="00000000" w:rsidRPr="00000000">
        <w:rPr>
          <w:rtl w:val="0"/>
        </w:rPr>
      </w:r>
    </w:p>
    <w:p w:rsidR="00000000" w:rsidDel="00000000" w:rsidP="00000000" w:rsidRDefault="00000000" w:rsidRPr="00000000" w14:paraId="00000098">
      <w:pPr>
        <w:numPr>
          <w:ilvl w:val="0"/>
          <w:numId w:val="7"/>
        </w:numPr>
        <w:tabs>
          <w:tab w:val="left" w:pos="2635"/>
        </w:tabs>
        <w:spacing w:after="0" w:lineRule="auto"/>
        <w:ind w:left="720" w:hanging="360"/>
        <w:rPr/>
      </w:pPr>
      <w:r w:rsidDel="00000000" w:rsidR="00000000" w:rsidRPr="00000000">
        <w:rPr>
          <w:rtl w:val="0"/>
        </w:rPr>
        <w:t xml:space="preserve">15 rokov - 670 bodov</w:t>
      </w:r>
      <w:r w:rsidDel="00000000" w:rsidR="00000000" w:rsidRPr="00000000">
        <w:rPr>
          <w:rtl w:val="0"/>
        </w:rPr>
      </w:r>
    </w:p>
    <w:p w:rsidR="00000000" w:rsidDel="00000000" w:rsidP="00000000" w:rsidRDefault="00000000" w:rsidRPr="00000000" w14:paraId="00000099">
      <w:pPr>
        <w:numPr>
          <w:ilvl w:val="0"/>
          <w:numId w:val="7"/>
        </w:numPr>
        <w:tabs>
          <w:tab w:val="left" w:pos="2635"/>
        </w:tabs>
        <w:ind w:left="720" w:hanging="360"/>
        <w:rPr/>
      </w:pPr>
      <w:r w:rsidDel="00000000" w:rsidR="00000000" w:rsidRPr="00000000">
        <w:rPr>
          <w:rtl w:val="0"/>
        </w:rPr>
        <w:t xml:space="preserve">16 rokov - 700 bodo</w:t>
      </w:r>
      <w:r w:rsidDel="00000000" w:rsidR="00000000" w:rsidRPr="00000000">
        <w:rPr>
          <w:rtl w:val="0"/>
        </w:rPr>
      </w:r>
    </w:p>
    <w:p w:rsidR="00000000" w:rsidDel="00000000" w:rsidP="00000000" w:rsidRDefault="00000000" w:rsidRPr="00000000" w14:paraId="0000009A">
      <w:pPr>
        <w:tabs>
          <w:tab w:val="left" w:pos="2635"/>
        </w:tabs>
        <w:rPr/>
      </w:pPr>
      <w:r w:rsidDel="00000000" w:rsidR="00000000" w:rsidRPr="00000000">
        <w:rPr>
          <w:rtl w:val="0"/>
        </w:rPr>
        <w:t xml:space="preserve">REPRE limity pre Mladši juniori 15 - 17 rokov (zaradenie podľa FINA bodov 2019):</w:t>
      </w:r>
    </w:p>
    <w:p w:rsidR="00000000" w:rsidDel="00000000" w:rsidP="00000000" w:rsidRDefault="00000000" w:rsidRPr="00000000" w14:paraId="0000009B">
      <w:pPr>
        <w:numPr>
          <w:ilvl w:val="0"/>
          <w:numId w:val="8"/>
        </w:numPr>
        <w:tabs>
          <w:tab w:val="left" w:pos="2635"/>
        </w:tabs>
        <w:spacing w:after="0" w:lineRule="auto"/>
        <w:ind w:left="720" w:hanging="360"/>
        <w:rPr/>
      </w:pPr>
      <w:r w:rsidDel="00000000" w:rsidR="00000000" w:rsidRPr="00000000">
        <w:rPr>
          <w:rtl w:val="0"/>
        </w:rPr>
        <w:t xml:space="preserve">15 rokov - 620 bodov</w:t>
      </w:r>
      <w:r w:rsidDel="00000000" w:rsidR="00000000" w:rsidRPr="00000000">
        <w:rPr>
          <w:rtl w:val="0"/>
        </w:rPr>
      </w:r>
    </w:p>
    <w:p w:rsidR="00000000" w:rsidDel="00000000" w:rsidP="00000000" w:rsidRDefault="00000000" w:rsidRPr="00000000" w14:paraId="0000009C">
      <w:pPr>
        <w:numPr>
          <w:ilvl w:val="0"/>
          <w:numId w:val="8"/>
        </w:numPr>
        <w:tabs>
          <w:tab w:val="left" w:pos="2635"/>
        </w:tabs>
        <w:spacing w:after="0" w:lineRule="auto"/>
        <w:ind w:left="720" w:hanging="360"/>
        <w:rPr/>
      </w:pPr>
      <w:r w:rsidDel="00000000" w:rsidR="00000000" w:rsidRPr="00000000">
        <w:rPr>
          <w:rtl w:val="0"/>
        </w:rPr>
        <w:t xml:space="preserve">16 rokov - 645 bodov</w:t>
      </w:r>
      <w:r w:rsidDel="00000000" w:rsidR="00000000" w:rsidRPr="00000000">
        <w:rPr>
          <w:rtl w:val="0"/>
        </w:rPr>
      </w:r>
    </w:p>
    <w:p w:rsidR="00000000" w:rsidDel="00000000" w:rsidP="00000000" w:rsidRDefault="00000000" w:rsidRPr="00000000" w14:paraId="0000009D">
      <w:pPr>
        <w:numPr>
          <w:ilvl w:val="0"/>
          <w:numId w:val="8"/>
        </w:numPr>
        <w:tabs>
          <w:tab w:val="left" w:pos="2635"/>
        </w:tabs>
        <w:ind w:left="720" w:hanging="360"/>
        <w:rPr/>
      </w:pPr>
      <w:r w:rsidDel="00000000" w:rsidR="00000000" w:rsidRPr="00000000">
        <w:rPr>
          <w:rtl w:val="0"/>
        </w:rPr>
        <w:t xml:space="preserve">17 rokov - 670 bodov</w:t>
      </w:r>
      <w:r w:rsidDel="00000000" w:rsidR="00000000" w:rsidRPr="00000000">
        <w:rPr>
          <w:rtl w:val="0"/>
        </w:rPr>
      </w:r>
    </w:p>
    <w:p w:rsidR="00000000" w:rsidDel="00000000" w:rsidP="00000000" w:rsidRDefault="00000000" w:rsidRPr="00000000" w14:paraId="0000009E">
      <w:pPr>
        <w:rPr>
          <w:rFonts w:ascii="Cambria" w:cs="Cambria" w:eastAsia="Cambria" w:hAnsi="Cambria"/>
          <w:sz w:val="24"/>
          <w:szCs w:val="24"/>
        </w:rPr>
      </w:pPr>
      <w:r w:rsidDel="00000000" w:rsidR="00000000" w:rsidRPr="00000000">
        <w:rPr>
          <w:sz w:val="24"/>
          <w:szCs w:val="24"/>
          <w:highlight w:val="yellow"/>
          <w:rtl w:val="0"/>
        </w:rPr>
        <w:t xml:space="preserve">2</w:t>
      </w:r>
      <w:r w:rsidDel="00000000" w:rsidR="00000000" w:rsidRPr="00000000">
        <w:rPr>
          <w:rFonts w:ascii="Cambria" w:cs="Cambria" w:eastAsia="Cambria" w:hAnsi="Cambria"/>
          <w:sz w:val="24"/>
          <w:szCs w:val="24"/>
          <w:highlight w:val="yellow"/>
          <w:rtl w:val="0"/>
        </w:rPr>
        <w:t xml:space="preserve">.BLOK – PROPORCIONÁLNOSŤ ŠPECIFICKÝCH KOMPONENTOV TALENTU</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9F">
      <w:pPr>
        <w:tabs>
          <w:tab w:val="left" w:pos="2635"/>
        </w:tabs>
        <w:rPr>
          <w:rFonts w:ascii="Cambria" w:cs="Cambria" w:eastAsia="Cambria" w:hAnsi="Cambria"/>
        </w:rPr>
      </w:pPr>
      <w:r w:rsidDel="00000000" w:rsidR="00000000" w:rsidRPr="00000000">
        <w:rPr>
          <w:rFonts w:ascii="Cambria" w:cs="Cambria" w:eastAsia="Cambria" w:hAnsi="Cambria"/>
          <w:rtl w:val="0"/>
        </w:rPr>
        <w:t xml:space="preserve">Tvoria pomerne výraznú 50% predikciu úspešnosti v zrelom veku. Špecifické komponenty sú vyjadrené úrovňou (1-2-3, pozri škálu selekcie talentu DSV, 2015)  plaveckej techniky, práce nôh vo vode, štartmi a šprintmi všetkých plavecký spôsobov, odrazom z vody a delfínovým kopaním pod vodou (15m na prsiach, chrbte a 7m splývanie po odraze).  Vo veľkej miere  sú závislé od dĺžky a rozsahu predchádzajúcej plaveckej a kondičnej prípravy, telesného a biologického vývoja zverenca (pozri obr. č.2 a obr. č.4). </w:t>
      </w:r>
    </w:p>
    <w:p w:rsidR="00000000" w:rsidDel="00000000" w:rsidP="00000000" w:rsidRDefault="00000000" w:rsidRPr="00000000" w14:paraId="000000A0">
      <w:pPr>
        <w:tabs>
          <w:tab w:val="left" w:pos="2635"/>
        </w:tabs>
        <w:rPr>
          <w:rFonts w:ascii="Cambria" w:cs="Cambria" w:eastAsia="Cambria" w:hAnsi="Cambria"/>
        </w:rPr>
      </w:pPr>
      <w:r w:rsidDel="00000000" w:rsidR="00000000" w:rsidRPr="00000000">
        <w:rPr>
          <w:rFonts w:ascii="Cambria" w:cs="Cambria" w:eastAsia="Cambria" w:hAnsi="Cambria"/>
          <w:rtl w:val="0"/>
        </w:rPr>
        <w:t xml:space="preserve"> V skupine T1 špecifické komponenty testujeme častejšie, každý MZC. Ukazuje sa že nám pomáha FLEXIBILNEJŠIE KORIGOVAŤ PLNENIE ÚLOH, hľadať  „vlastnú cestu“ plavca a reagovať na požiadavky každého jedného mezocyklu.  Plavcov  učíme  trénovať kritickým SEBA HODNOTENÍM. Vedením tréningového denníka a cestovnej mapy cieľov  EDUKAČNE vplývame na MENTÁLNY rozvoj vyvíjajúcecho plavca. Priebežne robíme hodnotenie výsledkov z pretekov. Zverencov motivujeme k odstraňovaniu zaostávajúcich koordinačných a motorických dispozícií,  nie k akcelerovaniu  a slepému bláznenie za výkonmi. Uvedomujeme si, že psychický tlak je jednou z príčin straty záujmu 15-16 ročných o výkonnostné plávanie. Veľkou výzvou sú v úvode a v závere sezóny tréningové tábory. Zverenci absolvujú nielen testovanie ale aj video analýzu techniky spojenú s prezentáciou charakteristík svojho talentu a sebakritické hľadanie východísk (pozri obr.č.5  Tréningový denník plavca Azety) .</w:t>
      </w:r>
    </w:p>
    <w:p w:rsidR="00000000" w:rsidDel="00000000" w:rsidP="00000000" w:rsidRDefault="00000000" w:rsidRPr="00000000" w14:paraId="000000A1">
      <w:pPr>
        <w:tabs>
          <w:tab w:val="left" w:pos="2635"/>
        </w:tabs>
        <w:rPr>
          <w:rFonts w:ascii="Cambria" w:cs="Cambria" w:eastAsia="Cambria" w:hAnsi="Cambria"/>
        </w:rPr>
      </w:pPr>
      <w:r w:rsidDel="00000000" w:rsidR="00000000" w:rsidRPr="00000000">
        <w:rPr>
          <w:rFonts w:ascii="Cambria" w:cs="Cambria" w:eastAsia="Cambria" w:hAnsi="Cambria"/>
          <w:color w:val="000000"/>
          <w:rtl w:val="0"/>
        </w:rPr>
        <w:t xml:space="preserve">Obr.č.5   Tréningový denník plavca Azety  (plán periodizácie sezóny,  kalendára pretekov, táborov a testov)</w:t>
      </w:r>
      <w:r w:rsidDel="00000000" w:rsidR="00000000" w:rsidRPr="00000000">
        <w:rPr>
          <w:rtl w:val="0"/>
        </w:rPr>
      </w:r>
    </w:p>
    <w:p w:rsidR="00000000" w:rsidDel="00000000" w:rsidP="00000000" w:rsidRDefault="00000000" w:rsidRPr="00000000" w14:paraId="000000A2">
      <w:pPr>
        <w:tabs>
          <w:tab w:val="left" w:pos="2635"/>
        </w:tabs>
        <w:rPr>
          <w:rFonts w:ascii="Cambria" w:cs="Cambria" w:eastAsia="Cambria" w:hAnsi="Cambria"/>
        </w:rPr>
      </w:pPr>
      <w:r w:rsidDel="00000000" w:rsidR="00000000" w:rsidRPr="00000000">
        <w:rPr>
          <w:rFonts w:ascii="Cambria" w:cs="Cambria" w:eastAsia="Cambria" w:hAnsi="Cambria"/>
        </w:rPr>
        <w:drawing>
          <wp:inline distB="0" distT="0" distL="0" distR="0">
            <wp:extent cx="6776163" cy="452249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776163" cy="452249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Cambria" w:cs="Cambria" w:eastAsia="Cambria" w:hAnsi="Cambria"/>
        </w:rPr>
      </w:pPr>
      <w:r w:rsidDel="00000000" w:rsidR="00000000" w:rsidRPr="00000000">
        <w:rPr>
          <w:rFonts w:ascii="Cambria" w:cs="Cambria" w:eastAsia="Cambria" w:hAnsi="Cambria"/>
          <w:rtl w:val="0"/>
        </w:rPr>
        <w:t xml:space="preserve">Obr.č.2 Proporcionálnosť ŠPECIFICKÝCH  komponentov talentu výkonnostne akcelerovaného plavca (13 ročný M.K.) a menej výkonného plavca (13 ročný D.F.) trénujúcich v rovnakej tréningovej skupine pk Azeta</w:t>
      </w:r>
    </w:p>
    <w:p w:rsidR="00000000" w:rsidDel="00000000" w:rsidP="00000000" w:rsidRDefault="00000000" w:rsidRPr="00000000" w14:paraId="000000A4">
      <w:pPr>
        <w:tabs>
          <w:tab w:val="left" w:pos="2635"/>
        </w:tabs>
        <w:rPr>
          <w:rFonts w:ascii="Cambria" w:cs="Cambria" w:eastAsia="Cambria" w:hAnsi="Cambria"/>
        </w:rPr>
      </w:pPr>
      <w:r w:rsidDel="00000000" w:rsidR="00000000" w:rsidRPr="00000000">
        <w:rPr>
          <w:rFonts w:ascii="Cambria" w:cs="Cambria" w:eastAsia="Cambria" w:hAnsi="Cambria"/>
        </w:rPr>
        <w:drawing>
          <wp:inline distB="0" distT="0" distL="0" distR="0">
            <wp:extent cx="5486400" cy="2828925"/>
            <wp:effectExtent b="9525" l="0" r="19050" t="0"/>
            <wp:docPr id="2"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A5">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A6">
      <w:pPr>
        <w:tabs>
          <w:tab w:val="left" w:pos="2635"/>
        </w:tabs>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A7">
      <w:pPr>
        <w:rPr>
          <w:rFonts w:ascii="Cambria" w:cs="Cambria" w:eastAsia="Cambria" w:hAnsi="Cambria"/>
        </w:rPr>
      </w:pPr>
      <w:r w:rsidDel="00000000" w:rsidR="00000000" w:rsidRPr="00000000">
        <w:rPr>
          <w:rFonts w:ascii="Cambria" w:cs="Cambria" w:eastAsia="Cambria" w:hAnsi="Cambria"/>
          <w:sz w:val="24"/>
          <w:szCs w:val="24"/>
          <w:highlight w:val="yellow"/>
          <w:rtl w:val="0"/>
        </w:rPr>
        <w:t xml:space="preserve">3.BLOK - PROPORCIONÁLNOSŤ NEŠPECIFICKÝCH KOMPONENTOV TALENTU</w:t>
      </w:r>
      <w:r w:rsidDel="00000000" w:rsidR="00000000" w:rsidRPr="00000000">
        <w:rPr>
          <w:rFonts w:ascii="Cambria" w:cs="Cambria" w:eastAsia="Cambria" w:hAnsi="Cambria"/>
          <w:rtl w:val="0"/>
        </w:rPr>
        <w:t xml:space="preserve"> </w:t>
      </w:r>
    </w:p>
    <w:p w:rsidR="00000000" w:rsidDel="00000000" w:rsidP="00000000" w:rsidRDefault="00000000" w:rsidRPr="00000000" w14:paraId="000000A8">
      <w:pPr>
        <w:tabs>
          <w:tab w:val="left" w:pos="2635"/>
        </w:tabs>
        <w:rPr>
          <w:rFonts w:ascii="Cambria" w:cs="Cambria" w:eastAsia="Cambria" w:hAnsi="Cambria"/>
        </w:rPr>
      </w:pPr>
      <w:r w:rsidDel="00000000" w:rsidR="00000000" w:rsidRPr="00000000">
        <w:rPr>
          <w:rFonts w:ascii="Cambria" w:cs="Cambria" w:eastAsia="Cambria" w:hAnsi="Cambria"/>
          <w:rtl w:val="0"/>
        </w:rPr>
        <w:t xml:space="preserve">Tvoria pomerne výraznú 24% predikciu úspešnosti v zrelom veku. Vyjadrené sú úrovňou (1-2-3, pozri škálu selekcie talentu DSV, 2015) ohybnosti ramien a trupu, atletických a silových dispozícii trupu a končatín (zhyby, skoky, sila brucha a chrbta). Predovšetkým kĺbová a svalová flexibilnosť a výbušnosť je limitujúcim faktorom rastu špecifických komponentov. Ovplyvňujú efektívnosť tréningu, zlepšovanie dĺžky záberu, plaveckého kopania, obrátkiek a štartov a plaveckej rýchlosti. V konečnom dôsledku aj úspešnosť v zrelom veku (pozri obr. č.2 a 3). </w:t>
      </w:r>
    </w:p>
    <w:p w:rsidR="00000000" w:rsidDel="00000000" w:rsidP="00000000" w:rsidRDefault="00000000" w:rsidRPr="00000000" w14:paraId="000000A9">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AA">
      <w:pPr>
        <w:tabs>
          <w:tab w:val="left" w:pos="2635"/>
        </w:tabs>
        <w:rPr>
          <w:rFonts w:ascii="Cambria" w:cs="Cambria" w:eastAsia="Cambria" w:hAnsi="Cambria"/>
        </w:rPr>
      </w:pPr>
      <w:r w:rsidDel="00000000" w:rsidR="00000000" w:rsidRPr="00000000">
        <w:rPr>
          <w:rFonts w:ascii="Cambria" w:cs="Cambria" w:eastAsia="Cambria" w:hAnsi="Cambria"/>
          <w:rtl w:val="0"/>
        </w:rPr>
        <w:t xml:space="preserve">Obr.č.3.   Proporcionálnosť NEŠPECIFICKÝCH komponentov talentu  výkonnostne akcelerovaného plavca (13 ročný M.K.) a menej výkonného plavca (13 ročný D.F.) trénujúcich v rovnakej tréningovej skupine pk Azeta</w:t>
      </w:r>
    </w:p>
    <w:p w:rsidR="00000000" w:rsidDel="00000000" w:rsidP="00000000" w:rsidRDefault="00000000" w:rsidRPr="00000000" w14:paraId="000000AB">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AC">
      <w:pPr>
        <w:tabs>
          <w:tab w:val="left" w:pos="2635"/>
        </w:tabs>
        <w:rPr>
          <w:rFonts w:ascii="Cambria" w:cs="Cambria" w:eastAsia="Cambria" w:hAnsi="Cambria"/>
        </w:rPr>
      </w:pPr>
      <w:r w:rsidDel="00000000" w:rsidR="00000000" w:rsidRPr="00000000">
        <w:rPr>
          <w:rFonts w:ascii="Cambria" w:cs="Cambria" w:eastAsia="Cambria" w:hAnsi="Cambria"/>
        </w:rPr>
        <w:drawing>
          <wp:inline distB="0" distT="0" distL="0" distR="0">
            <wp:extent cx="5143500" cy="2790825"/>
            <wp:effectExtent b="9525" l="0" r="19050" t="0"/>
            <wp:docPr id="4"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AD">
      <w:pPr>
        <w:rPr>
          <w:rFonts w:ascii="Cambria" w:cs="Cambria" w:eastAsia="Cambria" w:hAnsi="Cambria"/>
          <w:sz w:val="24"/>
          <w:szCs w:val="24"/>
          <w:highlight w:val="yellow"/>
          <w:u w:val="single"/>
        </w:rPr>
      </w:pPr>
      <w:r w:rsidDel="00000000" w:rsidR="00000000" w:rsidRPr="00000000">
        <w:rPr>
          <w:rtl w:val="0"/>
        </w:rPr>
      </w:r>
    </w:p>
    <w:p w:rsidR="00000000" w:rsidDel="00000000" w:rsidP="00000000" w:rsidRDefault="00000000" w:rsidRPr="00000000" w14:paraId="000000AE">
      <w:pPr>
        <w:rPr>
          <w:rFonts w:ascii="Cambria" w:cs="Cambria" w:eastAsia="Cambria" w:hAnsi="Cambria"/>
          <w:sz w:val="24"/>
          <w:szCs w:val="24"/>
          <w:highlight w:val="yellow"/>
          <w:u w:val="single"/>
        </w:rPr>
      </w:pPr>
      <w:r w:rsidDel="00000000" w:rsidR="00000000" w:rsidRPr="00000000">
        <w:rPr>
          <w:rtl w:val="0"/>
        </w:rPr>
      </w:r>
    </w:p>
    <w:p w:rsidR="00000000" w:rsidDel="00000000" w:rsidP="00000000" w:rsidRDefault="00000000" w:rsidRPr="00000000" w14:paraId="000000AF">
      <w:pPr>
        <w:rPr>
          <w:rFonts w:ascii="Cambria" w:cs="Cambria" w:eastAsia="Cambria" w:hAnsi="Cambria"/>
          <w:sz w:val="24"/>
          <w:szCs w:val="24"/>
          <w:u w:val="single"/>
        </w:rPr>
      </w:pPr>
      <w:r w:rsidDel="00000000" w:rsidR="00000000" w:rsidRPr="00000000">
        <w:rPr>
          <w:rFonts w:ascii="Cambria" w:cs="Cambria" w:eastAsia="Cambria" w:hAnsi="Cambria"/>
          <w:sz w:val="24"/>
          <w:szCs w:val="24"/>
          <w:highlight w:val="yellow"/>
          <w:u w:val="single"/>
          <w:rtl w:val="0"/>
        </w:rPr>
        <w:t xml:space="preserve">4.BLOK- ÚROVEŇ TELESNEJ A BIOLOGICKEJ ZRELOSTI,</w:t>
      </w:r>
      <w:r w:rsidDel="00000000" w:rsidR="00000000" w:rsidRPr="00000000">
        <w:rPr>
          <w:rtl w:val="0"/>
        </w:rPr>
      </w:r>
    </w:p>
    <w:p w:rsidR="00000000" w:rsidDel="00000000" w:rsidP="00000000" w:rsidRDefault="00000000" w:rsidRPr="00000000" w14:paraId="000000B0">
      <w:pPr>
        <w:rPr>
          <w:rFonts w:ascii="Cambria" w:cs="Cambria" w:eastAsia="Cambria" w:hAnsi="Cambria"/>
        </w:rPr>
      </w:pPr>
      <w:r w:rsidDel="00000000" w:rsidR="00000000" w:rsidRPr="00000000">
        <w:rPr>
          <w:rFonts w:ascii="Cambria" w:cs="Cambria" w:eastAsia="Cambria" w:hAnsi="Cambria"/>
          <w:rtl w:val="0"/>
        </w:rPr>
        <w:t xml:space="preserve"> Telesná a biologická zrelosť </w:t>
      </w:r>
      <w:r w:rsidDel="00000000" w:rsidR="00000000" w:rsidRPr="00000000">
        <w:rPr>
          <w:rFonts w:ascii="Calibri" w:cs="Calibri" w:eastAsia="Calibri" w:hAnsi="Calibri"/>
          <w:sz w:val="24"/>
          <w:szCs w:val="24"/>
          <w:rtl w:val="0"/>
        </w:rPr>
        <w:t xml:space="preserve">výrazne ovplyvňuje</w:t>
      </w:r>
      <w:r w:rsidDel="00000000" w:rsidR="00000000" w:rsidRPr="00000000">
        <w:rPr>
          <w:rFonts w:ascii="Calibri" w:cs="Calibri" w:eastAsia="Calibri" w:hAnsi="Calibri"/>
          <w:rtl w:val="0"/>
        </w:rPr>
        <w:t xml:space="preserve">  plaveckú výkonnosť.</w:t>
      </w:r>
      <w:r w:rsidDel="00000000" w:rsidR="00000000" w:rsidRPr="00000000">
        <w:rPr>
          <w:rFonts w:ascii="Cambria" w:cs="Cambria" w:eastAsia="Cambria" w:hAnsi="Cambria"/>
          <w:rtl w:val="0"/>
        </w:rPr>
        <w:t xml:space="preserve"> Uvedomujeme si  " zákernú", až 16% nestabilitu vplyvu týchto biologických faktorov na akceleráciu plaveckej výkonnosti. Často sa nechávame uniesť "veľkou" talentovanosťou zverenca, bez toho aby sme poznali proporcionálnosť ostatných komponentov, uvedené vo vyššie uvedenej analýze blokov,  ktoré v zrelom veku plavca sú nenahraditeľné,. Telesná zrelosť je vyjadrená úrovňou (1-2-3, pozri škálu selekcie talentu DSV, 2015) telesných proporcií a BROCA indexom. </w:t>
      </w:r>
    </w:p>
    <w:p w:rsidR="00000000" w:rsidDel="00000000" w:rsidP="00000000" w:rsidRDefault="00000000" w:rsidRPr="00000000" w14:paraId="000000B1">
      <w:pPr>
        <w:rPr>
          <w:rFonts w:ascii="Cambria" w:cs="Cambria" w:eastAsia="Cambria" w:hAnsi="Cambria"/>
        </w:rPr>
      </w:pPr>
      <w:r w:rsidDel="00000000" w:rsidR="00000000" w:rsidRPr="00000000">
        <w:rPr>
          <w:rFonts w:ascii="Cambria" w:cs="Cambria" w:eastAsia="Cambria" w:hAnsi="Cambria"/>
          <w:u w:val="single"/>
          <w:rtl w:val="0"/>
        </w:rPr>
        <w:t xml:space="preserve">K doplnkovým ukazovateľom komponentov talentu</w:t>
      </w:r>
      <w:r w:rsidDel="00000000" w:rsidR="00000000" w:rsidRPr="00000000">
        <w:rPr>
          <w:rFonts w:ascii="Cambria" w:cs="Cambria" w:eastAsia="Cambria" w:hAnsi="Cambria"/>
          <w:rtl w:val="0"/>
        </w:rPr>
        <w:t xml:space="preserve"> zaraďujeme poznatky o zdravotnom stave, imunite, funkčnosti pohybového aparátu, rodinnom zázemí, zaťažiteľnosť a rozsahu absolvovaného tréningu. </w:t>
      </w:r>
    </w:p>
    <w:p w:rsidR="00000000" w:rsidDel="00000000" w:rsidP="00000000" w:rsidRDefault="00000000" w:rsidRPr="00000000" w14:paraId="000000B2">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B3">
      <w:pPr>
        <w:tabs>
          <w:tab w:val="left" w:pos="2635"/>
        </w:tabs>
        <w:rPr>
          <w:rFonts w:ascii="Cambria" w:cs="Cambria" w:eastAsia="Cambria" w:hAnsi="Cambria"/>
        </w:rPr>
      </w:pPr>
      <w:r w:rsidDel="00000000" w:rsidR="00000000" w:rsidRPr="00000000">
        <w:rPr>
          <w:rFonts w:ascii="Cambria" w:cs="Cambria" w:eastAsia="Cambria" w:hAnsi="Cambria"/>
          <w:rtl w:val="0"/>
        </w:rPr>
        <w:t xml:space="preserve">Obr.č.4     Úroveň TELESNEJ A BIOLOGICKEJ  ZRELOSTI výkonnostne akcelerovaného plavca (13 ročný M.K.) a menej výkonného plavca (13 ročný D.F.) trénujúcich v rovnakej tréningovej skupine pk Azeta</w:t>
      </w:r>
    </w:p>
    <w:p w:rsidR="00000000" w:rsidDel="00000000" w:rsidP="00000000" w:rsidRDefault="00000000" w:rsidRPr="00000000" w14:paraId="000000B4">
      <w:pPr>
        <w:tabs>
          <w:tab w:val="left" w:pos="2635"/>
        </w:tabs>
        <w:rPr>
          <w:rFonts w:ascii="Cambria" w:cs="Cambria" w:eastAsia="Cambria" w:hAnsi="Cambria"/>
        </w:rPr>
      </w:pPr>
      <w:r w:rsidDel="00000000" w:rsidR="00000000" w:rsidRPr="00000000">
        <w:rPr>
          <w:rtl w:val="0"/>
        </w:rPr>
      </w:r>
    </w:p>
    <w:p w:rsidR="00000000" w:rsidDel="00000000" w:rsidP="00000000" w:rsidRDefault="00000000" w:rsidRPr="00000000" w14:paraId="000000B5">
      <w:pPr>
        <w:tabs>
          <w:tab w:val="left" w:pos="2635"/>
        </w:tabs>
        <w:rPr>
          <w:rFonts w:ascii="Cambria" w:cs="Cambria" w:eastAsia="Cambria" w:hAnsi="Cambria"/>
        </w:rPr>
      </w:pPr>
      <w:r w:rsidDel="00000000" w:rsidR="00000000" w:rsidRPr="00000000">
        <w:rPr>
          <w:rFonts w:ascii="Cambria" w:cs="Cambria" w:eastAsia="Cambria" w:hAnsi="Cambria"/>
        </w:rPr>
        <w:drawing>
          <wp:inline distB="0" distT="0" distL="0" distR="0">
            <wp:extent cx="5210175" cy="2724150"/>
            <wp:effectExtent b="19050" l="0" r="9525" t="0"/>
            <wp:docPr id="3"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B6">
      <w:pPr>
        <w:tabs>
          <w:tab w:val="left" w:pos="2635"/>
        </w:tabs>
        <w:rPr>
          <w:rFonts w:ascii="Cambria" w:cs="Cambria" w:eastAsia="Cambria" w:hAnsi="Cambria"/>
        </w:rPr>
      </w:pPr>
      <w:r w:rsidDel="00000000" w:rsidR="00000000" w:rsidRPr="00000000">
        <w:rPr>
          <w:rFonts w:ascii="Cambria" w:cs="Cambria" w:eastAsia="Cambria" w:hAnsi="Cambria"/>
          <w:rtl w:val="0"/>
        </w:rPr>
        <w:t xml:space="preserve">Poznámka:  určenie stupňa biologickej zrelosti dopĺňame  posúdením druhotných pohlavných znakov a absolútnej dynamiky atletickej sily (trojskok z miesta, plavec MK 8,47%) a telesného rozvoja ( telesnej výšky - plavec MK 2,44%, určuje primárny pubertalny skok a telesnej hmotnosti - plavec MK - 0,44%, určuje sekundárny pubertalny skok) </w:t>
      </w:r>
    </w:p>
    <w:p w:rsidR="00000000" w:rsidDel="00000000" w:rsidP="00000000" w:rsidRDefault="00000000" w:rsidRPr="00000000" w14:paraId="000000B7">
      <w:pPr>
        <w:tabs>
          <w:tab w:val="left" w:pos="2635"/>
        </w:tabs>
        <w:rPr>
          <w:rFonts w:ascii="Cambria" w:cs="Cambria" w:eastAsia="Cambria" w:hAnsi="Cambria"/>
        </w:rPr>
      </w:pPr>
      <w:r w:rsidDel="00000000" w:rsidR="00000000" w:rsidRPr="00000000">
        <w:rPr>
          <w:rFonts w:ascii="Cambria" w:cs="Cambria" w:eastAsia="Cambria" w:hAnsi="Cambria"/>
          <w:rtl w:val="0"/>
        </w:rPr>
        <w:t xml:space="preserve">Záver do praxe:</w:t>
      </w:r>
    </w:p>
    <w:p w:rsidR="00000000" w:rsidDel="00000000" w:rsidP="00000000" w:rsidRDefault="00000000" w:rsidRPr="00000000" w14:paraId="000000B8">
      <w:pPr>
        <w:tabs>
          <w:tab w:val="left" w:pos="2635"/>
        </w:tabs>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Čo želať trénerom mladších plavcov. Aby si našli čas držať sa zásady "najprv diagnostiku talentu potom tréning" a v úvode a v závere sezóny testovaním sofistikovane monitorovali  rozvoj talentu svojich  zverencov. Naše skúsenosti z pilotného projektu klubu Azeta -   dlhodobou prípravou stratégiou topformy  potvrdzujú, že hľadanie "vlastnej  cesty" zverencov prípravu nielen spestruje ale zároveň  núti sa zamyslieť  nad tým čo  trénuje,  v čom zaostáva a AKO ĎALEJ. Motivuje sa zlepšovať a zároveň chráni pred neprimeranou rannou akceleráciou. Je správnou alternatívou tréningu titulov a rekordov, ktorá negarantuje úspešnosť v zrelom veku. </w:t>
      </w:r>
    </w:p>
    <w:sectPr>
      <w:headerReference r:id="rId13"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lvl w:ilvl="0">
      <w:start w:val="1"/>
      <w:numFmt w:val="bullet"/>
      <w:lvlText w:val="o"/>
      <w:lvlJc w:val="left"/>
      <w:pPr>
        <w:ind w:left="1069" w:hanging="360"/>
      </w:pPr>
      <w:rPr>
        <w:rFonts w:ascii="Courier New" w:cs="Courier New" w:eastAsia="Courier New" w:hAnsi="Courier New"/>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k-SK"/>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chart" Target="charts/chart4.xml"/><Relationship Id="rId10" Type="http://schemas.openxmlformats.org/officeDocument/2006/relationships/chart" Target="charts/chart2.xml"/><Relationship Id="rId13" Type="http://schemas.openxmlformats.org/officeDocument/2006/relationships/header" Target="header1.xml"/><Relationship Id="rId12" Type="http://schemas.openxmlformats.org/officeDocument/2006/relationships/chart" Target="charts/chart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hart" Target="charts/chart1.xml"/><Relationship Id="rId7" Type="http://schemas.openxmlformats.org/officeDocument/2006/relationships/image" Target="media/image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plavec MK</c:v>
                </c:pt>
              </c:strCache>
            </c:strRef>
          </c:tx>
          <c:invertIfNegative val="0"/>
          <c:cat>
            <c:strRef>
              <c:f>Hárok1!$A$2:$A$5</c:f>
              <c:strCache>
                <c:ptCount val="4"/>
                <c:pt idx="0">
                  <c:v>PL VÝKONY</c:v>
                </c:pt>
                <c:pt idx="1">
                  <c:v>ŠPECIFIC KOMP</c:v>
                </c:pt>
                <c:pt idx="2">
                  <c:v>NEŠPEC KOMP</c:v>
                </c:pt>
                <c:pt idx="3">
                  <c:v>BIOLOG VÝVOJ</c:v>
                </c:pt>
              </c:strCache>
            </c:strRef>
          </c:cat>
          <c:val>
            <c:numRef>
              <c:f>Hárok1!$B$2:$B$5</c:f>
              <c:numCache>
                <c:formatCode>0%</c:formatCode>
                <c:ptCount val="4"/>
                <c:pt idx="0">
                  <c:v>0.94</c:v>
                </c:pt>
                <c:pt idx="1">
                  <c:v>0.96</c:v>
                </c:pt>
                <c:pt idx="2">
                  <c:v>0.8</c:v>
                </c:pt>
                <c:pt idx="3">
                  <c:v>1</c:v>
                </c:pt>
              </c:numCache>
            </c:numRef>
          </c:val>
        </c:ser>
        <c:ser>
          <c:idx val="1"/>
          <c:order val="1"/>
          <c:tx>
            <c:strRef>
              <c:f>Hárok1!$C$1</c:f>
              <c:strCache>
                <c:ptCount val="1"/>
                <c:pt idx="0">
                  <c:v>plavec DF</c:v>
                </c:pt>
              </c:strCache>
            </c:strRef>
          </c:tx>
          <c:invertIfNegative val="0"/>
          <c:cat>
            <c:strRef>
              <c:f>Hárok1!$A$2:$A$5</c:f>
              <c:strCache>
                <c:ptCount val="4"/>
                <c:pt idx="0">
                  <c:v>PL VÝKONY</c:v>
                </c:pt>
                <c:pt idx="1">
                  <c:v>ŠPECIFIC KOMP</c:v>
                </c:pt>
                <c:pt idx="2">
                  <c:v>NEŠPEC KOMP</c:v>
                </c:pt>
                <c:pt idx="3">
                  <c:v>BIOLOG VÝVOJ</c:v>
                </c:pt>
              </c:strCache>
            </c:strRef>
          </c:cat>
          <c:val>
            <c:numRef>
              <c:f>Hárok1!$C$2:$C$5</c:f>
              <c:numCache>
                <c:formatCode>0%</c:formatCode>
                <c:ptCount val="4"/>
                <c:pt idx="0">
                  <c:v>0.39</c:v>
                </c:pt>
                <c:pt idx="1">
                  <c:v>0.64</c:v>
                </c:pt>
                <c:pt idx="2">
                  <c:v>0.89</c:v>
                </c:pt>
                <c:pt idx="3">
                  <c:v>0.83</c:v>
                </c:pt>
              </c:numCache>
            </c:numRef>
          </c:val>
        </c:ser>
        <c:dLbls>
          <c:showLegendKey val="0"/>
          <c:showVal val="0"/>
          <c:showCatName val="0"/>
          <c:showSerName val="0"/>
          <c:showPercent val="0"/>
          <c:showBubbleSize val="0"/>
        </c:dLbls>
        <c:gapWidth val="150"/>
        <c:shape val="cylinder"/>
        <c:axId val="218391040"/>
        <c:axId val="173019072"/>
        <c:axId val="0"/>
      </c:bar3DChart>
      <c:catAx>
        <c:axId val="218391040"/>
        <c:scaling>
          <c:orientation val="minMax"/>
        </c:scaling>
        <c:delete val="0"/>
        <c:axPos val="b"/>
        <c:majorTickMark val="out"/>
        <c:minorTickMark val="none"/>
        <c:tickLblPos val="nextTo"/>
        <c:crossAx val="173019072"/>
        <c:crosses val="autoZero"/>
        <c:auto val="1"/>
        <c:lblAlgn val="ctr"/>
        <c:lblOffset val="100"/>
        <c:noMultiLvlLbl val="0"/>
      </c:catAx>
      <c:valAx>
        <c:axId val="173019072"/>
        <c:scaling>
          <c:orientation val="minMax"/>
        </c:scaling>
        <c:delete val="0"/>
        <c:axPos val="l"/>
        <c:majorGridlines/>
        <c:numFmt formatCode="0%" sourceLinked="1"/>
        <c:majorTickMark val="out"/>
        <c:minorTickMark val="none"/>
        <c:tickLblPos val="nextTo"/>
        <c:crossAx val="218391040"/>
        <c:crosses val="autoZero"/>
        <c:crossBetween val="between"/>
      </c:valAx>
    </c:plotArea>
    <c:legend>
      <c:legendPos val="r"/>
      <c:legendEntry>
        <c:idx val="0"/>
        <c:txPr>
          <a:bodyPr/>
          <a:lstStyle/>
          <a:p>
            <a:pPr>
              <a:defRPr sz="1200"/>
            </a:pPr>
            <a:endParaRPr lang="sk-SK"/>
          </a:p>
        </c:txPr>
      </c:legendEntry>
      <c:legendEntry>
        <c:idx val="1"/>
        <c:txPr>
          <a:bodyPr/>
          <a:lstStyle/>
          <a:p>
            <a:pPr>
              <a:defRPr sz="1200"/>
            </a:pPr>
            <a:endParaRPr lang="sk-SK"/>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plavec MK</c:v>
                </c:pt>
              </c:strCache>
            </c:strRef>
          </c:tx>
          <c:invertIfNegative val="0"/>
          <c:cat>
            <c:strRef>
              <c:f>Hárok1!$A$2:$A$5</c:f>
              <c:strCache>
                <c:ptCount val="4"/>
                <c:pt idx="0">
                  <c:v>PL TECHNIKA</c:v>
                </c:pt>
                <c:pt idx="1">
                  <c:v>PL NOHAMI</c:v>
                </c:pt>
                <c:pt idx="2">
                  <c:v>ŠTART-ŠPRINT</c:v>
                </c:pt>
                <c:pt idx="3">
                  <c:v>ODRAZ D-NOHY</c:v>
                </c:pt>
              </c:strCache>
            </c:strRef>
          </c:cat>
          <c:val>
            <c:numRef>
              <c:f>Hárok1!$B$2:$B$5</c:f>
              <c:numCache>
                <c:formatCode>0%</c:formatCode>
                <c:ptCount val="4"/>
                <c:pt idx="0">
                  <c:v>0.92</c:v>
                </c:pt>
                <c:pt idx="1">
                  <c:v>0.94</c:v>
                </c:pt>
                <c:pt idx="2">
                  <c:v>1</c:v>
                </c:pt>
                <c:pt idx="3">
                  <c:v>1</c:v>
                </c:pt>
              </c:numCache>
            </c:numRef>
          </c:val>
        </c:ser>
        <c:ser>
          <c:idx val="1"/>
          <c:order val="1"/>
          <c:tx>
            <c:strRef>
              <c:f>Hárok1!$C$1</c:f>
              <c:strCache>
                <c:ptCount val="1"/>
                <c:pt idx="0">
                  <c:v>plavec DF</c:v>
                </c:pt>
              </c:strCache>
            </c:strRef>
          </c:tx>
          <c:invertIfNegative val="0"/>
          <c:cat>
            <c:strRef>
              <c:f>Hárok1!$A$2:$A$5</c:f>
              <c:strCache>
                <c:ptCount val="4"/>
                <c:pt idx="0">
                  <c:v>PL TECHNIKA</c:v>
                </c:pt>
                <c:pt idx="1">
                  <c:v>PL NOHAMI</c:v>
                </c:pt>
                <c:pt idx="2">
                  <c:v>ŠTART-ŠPRINT</c:v>
                </c:pt>
                <c:pt idx="3">
                  <c:v>ODRAZ D-NOHY</c:v>
                </c:pt>
              </c:strCache>
            </c:strRef>
          </c:cat>
          <c:val>
            <c:numRef>
              <c:f>Hárok1!$C$2:$C$5</c:f>
              <c:numCache>
                <c:formatCode>0%</c:formatCode>
                <c:ptCount val="4"/>
                <c:pt idx="0">
                  <c:v>0.96</c:v>
                </c:pt>
                <c:pt idx="1">
                  <c:v>0.67</c:v>
                </c:pt>
                <c:pt idx="2">
                  <c:v>0.92</c:v>
                </c:pt>
                <c:pt idx="3">
                  <c:v>0.44</c:v>
                </c:pt>
              </c:numCache>
            </c:numRef>
          </c:val>
        </c:ser>
        <c:ser>
          <c:idx val="2"/>
          <c:order val="2"/>
          <c:tx>
            <c:strRef>
              <c:f>Hárok1!$D$1</c:f>
              <c:strCache>
                <c:ptCount val="1"/>
                <c:pt idx="0">
                  <c:v>.</c:v>
                </c:pt>
              </c:strCache>
            </c:strRef>
          </c:tx>
          <c:invertIfNegative val="0"/>
          <c:cat>
            <c:strRef>
              <c:f>Hárok1!$A$2:$A$5</c:f>
              <c:strCache>
                <c:ptCount val="4"/>
                <c:pt idx="0">
                  <c:v>PL TECHNIKA</c:v>
                </c:pt>
                <c:pt idx="1">
                  <c:v>PL NOHAMI</c:v>
                </c:pt>
                <c:pt idx="2">
                  <c:v>ŠTART-ŠPRINT</c:v>
                </c:pt>
                <c:pt idx="3">
                  <c:v>ODRAZ D-NOHY</c:v>
                </c:pt>
              </c:strCache>
            </c:strRef>
          </c:cat>
          <c:val>
            <c:numRef>
              <c:f>Hárok1!$D$2:$D$5</c:f>
              <c:numCache>
                <c:formatCode>General</c:formatCode>
                <c:ptCount val="4"/>
              </c:numCache>
            </c:numRef>
          </c:val>
        </c:ser>
        <c:dLbls>
          <c:showLegendKey val="0"/>
          <c:showVal val="0"/>
          <c:showCatName val="0"/>
          <c:showSerName val="0"/>
          <c:showPercent val="0"/>
          <c:showBubbleSize val="0"/>
        </c:dLbls>
        <c:gapWidth val="150"/>
        <c:shape val="cylinder"/>
        <c:axId val="219721216"/>
        <c:axId val="219882624"/>
        <c:axId val="0"/>
      </c:bar3DChart>
      <c:catAx>
        <c:axId val="219721216"/>
        <c:scaling>
          <c:orientation val="minMax"/>
        </c:scaling>
        <c:delete val="0"/>
        <c:axPos val="b"/>
        <c:majorTickMark val="out"/>
        <c:minorTickMark val="none"/>
        <c:tickLblPos val="nextTo"/>
        <c:crossAx val="219882624"/>
        <c:crosses val="autoZero"/>
        <c:auto val="1"/>
        <c:lblAlgn val="ctr"/>
        <c:lblOffset val="100"/>
        <c:noMultiLvlLbl val="0"/>
      </c:catAx>
      <c:valAx>
        <c:axId val="219882624"/>
        <c:scaling>
          <c:orientation val="minMax"/>
        </c:scaling>
        <c:delete val="0"/>
        <c:axPos val="l"/>
        <c:majorGridlines/>
        <c:numFmt formatCode="0%" sourceLinked="1"/>
        <c:majorTickMark val="out"/>
        <c:minorTickMark val="none"/>
        <c:tickLblPos val="nextTo"/>
        <c:crossAx val="219721216"/>
        <c:crosses val="autoZero"/>
        <c:crossBetween val="between"/>
      </c:valAx>
    </c:plotArea>
    <c:legend>
      <c:legendPos val="r"/>
      <c:legendEntry>
        <c:idx val="0"/>
        <c:txPr>
          <a:bodyPr/>
          <a:lstStyle/>
          <a:p>
            <a:pPr>
              <a:defRPr sz="1200"/>
            </a:pPr>
            <a:endParaRPr lang="sk-SK"/>
          </a:p>
        </c:txPr>
      </c:legendEntry>
      <c:legendEntry>
        <c:idx val="1"/>
        <c:txPr>
          <a:bodyPr/>
          <a:lstStyle/>
          <a:p>
            <a:pPr>
              <a:defRPr sz="1200"/>
            </a:pPr>
            <a:endParaRPr lang="sk-SK"/>
          </a:p>
        </c:txPr>
      </c:legendEntry>
      <c:layout>
        <c:manualLayout>
          <c:xMode val="edge"/>
          <c:yMode val="edge"/>
          <c:x val="0.82858869203849517"/>
          <c:y val="0.392363454568179"/>
          <c:w val="0.15752241907261591"/>
          <c:h val="0.2152727784026996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plavec MK</c:v>
                </c:pt>
              </c:strCache>
            </c:strRef>
          </c:tx>
          <c:invertIfNegative val="0"/>
          <c:cat>
            <c:strRef>
              <c:f>Hárok1!$A$2</c:f>
              <c:strCache>
                <c:ptCount val="1"/>
                <c:pt idx="0">
                  <c:v>TEL VÝŠKA/ TEL HMOTNOSŤ -BROCA</c:v>
                </c:pt>
              </c:strCache>
            </c:strRef>
          </c:cat>
          <c:val>
            <c:numRef>
              <c:f>Hárok1!$B$2</c:f>
              <c:numCache>
                <c:formatCode>0%</c:formatCode>
                <c:ptCount val="1"/>
                <c:pt idx="0">
                  <c:v>1</c:v>
                </c:pt>
              </c:numCache>
            </c:numRef>
          </c:val>
        </c:ser>
        <c:ser>
          <c:idx val="1"/>
          <c:order val="1"/>
          <c:tx>
            <c:strRef>
              <c:f>Hárok1!$C$1</c:f>
              <c:strCache>
                <c:ptCount val="1"/>
                <c:pt idx="0">
                  <c:v>plavec DF</c:v>
                </c:pt>
              </c:strCache>
            </c:strRef>
          </c:tx>
          <c:invertIfNegative val="0"/>
          <c:cat>
            <c:strRef>
              <c:f>Hárok1!$A$2</c:f>
              <c:strCache>
                <c:ptCount val="1"/>
                <c:pt idx="0">
                  <c:v>TEL VÝŠKA/ TEL HMOTNOSŤ -BROCA</c:v>
                </c:pt>
              </c:strCache>
            </c:strRef>
          </c:cat>
          <c:val>
            <c:numRef>
              <c:f>Hárok1!$C$2</c:f>
              <c:numCache>
                <c:formatCode>0%</c:formatCode>
                <c:ptCount val="1"/>
                <c:pt idx="0">
                  <c:v>0.83</c:v>
                </c:pt>
              </c:numCache>
            </c:numRef>
          </c:val>
        </c:ser>
        <c:dLbls>
          <c:showLegendKey val="0"/>
          <c:showVal val="0"/>
          <c:showCatName val="0"/>
          <c:showSerName val="0"/>
          <c:showPercent val="0"/>
          <c:showBubbleSize val="0"/>
        </c:dLbls>
        <c:gapWidth val="150"/>
        <c:shape val="cylinder"/>
        <c:axId val="218391552"/>
        <c:axId val="219886080"/>
        <c:axId val="0"/>
      </c:bar3DChart>
      <c:catAx>
        <c:axId val="218391552"/>
        <c:scaling>
          <c:orientation val="minMax"/>
        </c:scaling>
        <c:delete val="0"/>
        <c:axPos val="b"/>
        <c:majorTickMark val="out"/>
        <c:minorTickMark val="none"/>
        <c:tickLblPos val="nextTo"/>
        <c:crossAx val="219886080"/>
        <c:crosses val="autoZero"/>
        <c:auto val="1"/>
        <c:lblAlgn val="ctr"/>
        <c:lblOffset val="100"/>
        <c:noMultiLvlLbl val="0"/>
      </c:catAx>
      <c:valAx>
        <c:axId val="219886080"/>
        <c:scaling>
          <c:orientation val="minMax"/>
        </c:scaling>
        <c:delete val="0"/>
        <c:axPos val="l"/>
        <c:majorGridlines/>
        <c:numFmt formatCode="0%" sourceLinked="1"/>
        <c:majorTickMark val="out"/>
        <c:minorTickMark val="none"/>
        <c:tickLblPos val="nextTo"/>
        <c:crossAx val="218391552"/>
        <c:crosses val="autoZero"/>
        <c:crossBetween val="between"/>
      </c:valAx>
    </c:plotArea>
    <c:legend>
      <c:legendPos val="r"/>
      <c:legendEntry>
        <c:idx val="0"/>
        <c:txPr>
          <a:bodyPr/>
          <a:lstStyle/>
          <a:p>
            <a:pPr>
              <a:defRPr sz="1200"/>
            </a:pPr>
            <a:endParaRPr lang="sk-SK"/>
          </a:p>
        </c:txPr>
      </c:legendEntry>
      <c:legendEntry>
        <c:idx val="1"/>
        <c:txPr>
          <a:bodyPr/>
          <a:lstStyle/>
          <a:p>
            <a:pPr>
              <a:defRPr sz="1200"/>
            </a:pPr>
            <a:endParaRPr lang="sk-SK"/>
          </a:p>
        </c:txPr>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plavec MK</c:v>
                </c:pt>
              </c:strCache>
            </c:strRef>
          </c:tx>
          <c:invertIfNegative val="0"/>
          <c:cat>
            <c:strRef>
              <c:f>Hárok1!$A$2:$A$3</c:f>
              <c:strCache>
                <c:ptCount val="2"/>
                <c:pt idx="0">
                  <c:v>ATLET DISPOZÍCIE</c:v>
                </c:pt>
                <c:pt idx="1">
                  <c:v>OHYBNOSŤ</c:v>
                </c:pt>
              </c:strCache>
            </c:strRef>
          </c:cat>
          <c:val>
            <c:numRef>
              <c:f>Hárok1!$B$2:$B$3</c:f>
              <c:numCache>
                <c:formatCode>0%</c:formatCode>
                <c:ptCount val="2"/>
                <c:pt idx="0">
                  <c:v>0.93</c:v>
                </c:pt>
                <c:pt idx="1">
                  <c:v>0.67</c:v>
                </c:pt>
              </c:numCache>
            </c:numRef>
          </c:val>
        </c:ser>
        <c:ser>
          <c:idx val="1"/>
          <c:order val="1"/>
          <c:tx>
            <c:strRef>
              <c:f>Hárok1!$C$1</c:f>
              <c:strCache>
                <c:ptCount val="1"/>
                <c:pt idx="0">
                  <c:v>plavec DF</c:v>
                </c:pt>
              </c:strCache>
            </c:strRef>
          </c:tx>
          <c:invertIfNegative val="0"/>
          <c:cat>
            <c:strRef>
              <c:f>Hárok1!$A$2:$A$3</c:f>
              <c:strCache>
                <c:ptCount val="2"/>
                <c:pt idx="0">
                  <c:v>ATLET DISPOZÍCIE</c:v>
                </c:pt>
                <c:pt idx="1">
                  <c:v>OHYBNOSŤ</c:v>
                </c:pt>
              </c:strCache>
            </c:strRef>
          </c:cat>
          <c:val>
            <c:numRef>
              <c:f>Hárok1!$C$2:$C$3</c:f>
              <c:numCache>
                <c:formatCode>0%</c:formatCode>
                <c:ptCount val="2"/>
                <c:pt idx="0">
                  <c:v>0.87</c:v>
                </c:pt>
                <c:pt idx="1">
                  <c:v>0.92</c:v>
                </c:pt>
              </c:numCache>
            </c:numRef>
          </c:val>
        </c:ser>
        <c:dLbls>
          <c:showLegendKey val="0"/>
          <c:showVal val="0"/>
          <c:showCatName val="0"/>
          <c:showSerName val="0"/>
          <c:showPercent val="0"/>
          <c:showBubbleSize val="0"/>
        </c:dLbls>
        <c:gapWidth val="150"/>
        <c:shape val="cylinder"/>
        <c:axId val="220058624"/>
        <c:axId val="219884352"/>
        <c:axId val="0"/>
      </c:bar3DChart>
      <c:catAx>
        <c:axId val="220058624"/>
        <c:scaling>
          <c:orientation val="minMax"/>
        </c:scaling>
        <c:delete val="0"/>
        <c:axPos val="b"/>
        <c:majorTickMark val="out"/>
        <c:minorTickMark val="none"/>
        <c:tickLblPos val="nextTo"/>
        <c:crossAx val="219884352"/>
        <c:crosses val="autoZero"/>
        <c:auto val="1"/>
        <c:lblAlgn val="ctr"/>
        <c:lblOffset val="100"/>
        <c:noMultiLvlLbl val="0"/>
      </c:catAx>
      <c:valAx>
        <c:axId val="219884352"/>
        <c:scaling>
          <c:orientation val="minMax"/>
        </c:scaling>
        <c:delete val="0"/>
        <c:axPos val="l"/>
        <c:majorGridlines/>
        <c:numFmt formatCode="0%" sourceLinked="1"/>
        <c:majorTickMark val="out"/>
        <c:minorTickMark val="none"/>
        <c:tickLblPos val="nextTo"/>
        <c:crossAx val="220058624"/>
        <c:crosses val="autoZero"/>
        <c:crossBetween val="between"/>
      </c:valAx>
    </c:plotArea>
    <c:legend>
      <c:legendPos val="r"/>
      <c:legendEntry>
        <c:idx val="0"/>
        <c:txPr>
          <a:bodyPr/>
          <a:lstStyle/>
          <a:p>
            <a:pPr>
              <a:defRPr sz="1200"/>
            </a:pPr>
            <a:endParaRPr lang="sk-SK"/>
          </a:p>
        </c:txPr>
      </c:legendEntry>
      <c:legendEntry>
        <c:idx val="1"/>
        <c:txPr>
          <a:bodyPr/>
          <a:lstStyle/>
          <a:p>
            <a:pPr>
              <a:defRPr sz="1200"/>
            </a:pPr>
            <a:endParaRPr lang="sk-SK"/>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